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2E75B6" w:sz="12" w:space="6"/>
        </w:pBdr>
        <w:spacing w:before="80"/>
        <w:jc w:val="center"/>
        <w:rPr>
          <w:lang w:val="en-US"/>
        </w:rPr>
      </w:pPr>
      <w:r>
        <w:rPr>
          <w:b/>
          <w:bCs/>
          <w:color w:val="2E75B6"/>
          <w:sz w:val="28"/>
          <w:szCs w:val="28"/>
          <w:lang w:val="en-US"/>
        </w:rPr>
        <w:t xml:space="preserve">PROJECT1: </w:t>
      </w:r>
      <w:r>
        <w:rPr>
          <w:b/>
          <w:bCs/>
          <w:color w:val="2E75B6"/>
          <w:sz w:val="28"/>
          <w:szCs w:val="28"/>
        </w:rPr>
        <w:t xml:space="preserve">Design and Implementation of </w:t>
      </w:r>
      <w:r>
        <w:rPr>
          <w:b/>
          <w:bCs/>
          <w:color w:val="2E75B6"/>
          <w:sz w:val="28"/>
          <w:szCs w:val="28"/>
          <w:lang w:val="en-US"/>
        </w:rPr>
        <w:t xml:space="preserve">the </w:t>
      </w:r>
      <w:r>
        <w:rPr>
          <w:b/>
          <w:bCs/>
          <w:color w:val="2E75B6"/>
          <w:sz w:val="28"/>
          <w:szCs w:val="28"/>
        </w:rPr>
        <w:t>Hybrid FTP Appl</w:t>
      </w:r>
      <w:r>
        <w:rPr>
          <w:b/>
          <w:bCs/>
          <w:color w:val="2E75B6"/>
          <w:sz w:val="28"/>
          <w:szCs w:val="28"/>
          <w:lang w:val="en-US"/>
        </w:rPr>
        <w:t>ication</w:t>
      </w:r>
    </w:p>
    <w:p>
      <w:pPr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</w:rPr>
              <w:t>Course Name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both"/>
              <w:rPr>
                <w:lang w:val="en-US"/>
              </w:rPr>
            </w:pPr>
            <w:r>
              <w:rPr>
                <w:color w:val="404040"/>
                <w:lang w:val="en-US"/>
              </w:rPr>
              <w:t>Internetworking Protocol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</w:rPr>
              <w:t>Project Title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both"/>
            </w:pPr>
            <w:r>
              <w:rPr>
                <w:color w:val="404040"/>
              </w:rPr>
              <w:t xml:space="preserve">Design and Implementation of </w:t>
            </w:r>
            <w:r>
              <w:rPr>
                <w:color w:val="404040"/>
                <w:lang w:val="en-US"/>
              </w:rPr>
              <w:t>the</w:t>
            </w:r>
            <w:r>
              <w:rPr>
                <w:color w:val="404040"/>
              </w:rPr>
              <w:t xml:space="preserve"> Hybrid</w:t>
            </w:r>
            <w:r>
              <w:rPr>
                <w:color w:val="404040"/>
                <w:lang w:val="en-US"/>
              </w:rPr>
              <w:t xml:space="preserve"> FTP</w:t>
            </w:r>
            <w:r>
              <w:rPr>
                <w:color w:val="40404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</w:rPr>
              <w:t>Project Type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both"/>
            </w:pPr>
            <w:r>
              <w:rPr>
                <w:color w:val="404040"/>
              </w:rPr>
              <w:t>Group Project (</w:t>
            </w:r>
            <w:r>
              <w:rPr>
                <w:rFonts w:ascii="Arial" w:hAnsi="Arial" w:eastAsia="Arial" w:cs="Arial"/>
                <w:color w:val="404040"/>
              </w:rPr>
              <w:t>2</w:t>
            </w:r>
            <w:r>
              <w:rPr>
                <w:rFonts w:hint="default" w:ascii="Arial" w:hAnsi="Arial" w:eastAsia="Arial" w:cs="Arial"/>
                <w:color w:val="404040"/>
                <w:lang w:val="vi-VN"/>
              </w:rPr>
              <w:t>-3</w:t>
            </w:r>
            <w:r>
              <w:rPr>
                <w:rFonts w:ascii="Arial" w:hAnsi="Arial" w:eastAsia="Arial" w:cs="Arial"/>
                <w:color w:val="404040"/>
              </w:rPr>
              <w:t xml:space="preserve"> </w:t>
            </w:r>
            <w:r>
              <w:rPr>
                <w:rFonts w:ascii="Arial" w:hAnsi="Arial" w:eastAsia="Arial" w:cs="Arial"/>
                <w:color w:val="404040"/>
                <w:lang w:val="en-US"/>
              </w:rPr>
              <w:t>m</w:t>
            </w:r>
            <w:r>
              <w:rPr>
                <w:color w:val="404040"/>
              </w:rPr>
              <w:t>embers</w:t>
            </w:r>
            <w:r>
              <w:rPr>
                <w:color w:val="404040"/>
                <w:lang w:val="en-US"/>
              </w:rPr>
              <w:t>/group</w:t>
            </w:r>
            <w:r>
              <w:rPr>
                <w:color w:val="40404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</w:rPr>
              <w:t>Programming Language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both"/>
            </w:pPr>
            <w:r>
              <w:rPr>
                <w:color w:val="404040"/>
              </w:rPr>
              <w:t>C/C++, Java, Python, C#, or any widely-adopted systems language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</w:rPr>
              <w:t>Deliverables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both"/>
            </w:pPr>
            <w:r>
              <w:rPr>
                <w:color w:val="404040"/>
              </w:rPr>
              <w:t>Source Code + Technical Report + Live Oral Defense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</w:rPr>
              <w:t>Report Format</w:t>
            </w:r>
          </w:p>
        </w:tc>
        <w:tc>
          <w:tcPr>
            <w:tcW w:w="69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jc w:val="both"/>
            </w:pPr>
            <w:r>
              <w:rPr>
                <w:color w:val="404040"/>
              </w:rPr>
              <w:t>Structured Technical Documentation (see Section 4)</w:t>
            </w:r>
          </w:p>
        </w:tc>
      </w:tr>
    </w:tbl>
    <w:p>
      <w:pPr>
        <w:jc w:val="both"/>
      </w:pPr>
    </w:p>
    <w:p>
      <w:pPr>
        <w:pStyle w:val="2"/>
        <w:pBdr>
          <w:bottom w:val="single" w:color="2E75B6" w:sz="6" w:space="4"/>
        </w:pBdr>
        <w:jc w:val="both"/>
      </w:pPr>
      <w:r>
        <w:t>1. Project Description</w:t>
      </w:r>
    </w:p>
    <w:p>
      <w:pPr>
        <w:spacing w:before="80" w:after="80"/>
        <w:jc w:val="both"/>
      </w:pPr>
      <w:r>
        <w:rPr>
          <w:color w:val="404040"/>
        </w:rPr>
        <w:t xml:space="preserve">This project challenges students to design and implement a </w:t>
      </w:r>
      <w:r>
        <w:rPr>
          <w:b/>
          <w:bCs/>
          <w:color w:val="404040"/>
        </w:rPr>
        <w:t>Hybrid FTP (File Transfer Protocol) system</w:t>
      </w:r>
      <w:r>
        <w:rPr>
          <w:color w:val="404040"/>
        </w:rPr>
        <w:t xml:space="preserve"> that decouples the control plane from the data plane — mirroring the architectural philosophy of the real-world FTP standard (RFC 959). Students will build a fully functional client–server application with two independent communication channels:</w:t>
      </w:r>
      <w:bookmarkStart w:id="0" w:name="_GoBack"/>
      <w:bookmarkEnd w:id="0"/>
    </w:p>
    <w:p>
      <w:pPr>
        <w:pStyle w:val="3"/>
        <w:jc w:val="both"/>
      </w:pPr>
      <w:r>
        <w:t>1.1  Control Channel — TCP</w:t>
      </w:r>
    </w:p>
    <w:p>
      <w:pPr>
        <w:spacing w:before="80" w:after="80"/>
        <w:jc w:val="both"/>
      </w:pPr>
      <w:r>
        <w:rPr>
          <w:color w:val="404040"/>
        </w:rPr>
        <w:t xml:space="preserve">The control channel leverages </w:t>
      </w:r>
      <w:r>
        <w:rPr>
          <w:b/>
          <w:bCs/>
          <w:color w:val="404040"/>
        </w:rPr>
        <w:t>TCP sockets</w:t>
      </w:r>
      <w:r>
        <w:rPr>
          <w:color w:val="404040"/>
        </w:rPr>
        <w:t xml:space="preserve"> to transmit commands, responses, and session state. TCP's connection-oriented, reliable delivery guarantees sequential command execution, stable session tracking, and accurate status reporting throughout the client's lifecycle.</w:t>
      </w:r>
    </w:p>
    <w:p>
      <w:pPr>
        <w:pStyle w:val="3"/>
        <w:jc w:val="both"/>
      </w:pPr>
      <w:r>
        <w:t>1.2  Data Channel — UDP</w:t>
      </w:r>
    </w:p>
    <w:p>
      <w:pPr>
        <w:spacing w:before="80" w:after="80"/>
        <w:jc w:val="both"/>
      </w:pPr>
      <w:r>
        <w:rPr>
          <w:color w:val="404040"/>
        </w:rPr>
        <w:t xml:space="preserve">All actual file payload is transmitted over </w:t>
      </w:r>
      <w:r>
        <w:rPr>
          <w:b/>
          <w:bCs/>
          <w:color w:val="404040"/>
        </w:rPr>
        <w:t>UDP sockets</w:t>
      </w:r>
      <w:r>
        <w:rPr>
          <w:color w:val="404040"/>
        </w:rPr>
        <w:t>. Since UDP is inherently unreliable, students must research and engineer a custom application-layer reliability sub-protocol built directly on top of UDP — without any external libraries — to provide: zero packet loss, corruption detection, duplicate elimination, and correct packet ordering.</w:t>
      </w:r>
    </w:p>
    <w:p>
      <w:pPr>
        <w:jc w:val="both"/>
      </w:pPr>
    </w:p>
    <w:p>
      <w:pPr>
        <w:pStyle w:val="3"/>
        <w:jc w:val="both"/>
      </w:pPr>
      <w:r>
        <w:t>1.3  Evaluation Levels</w:t>
      </w:r>
    </w:p>
    <w:p>
      <w:pPr>
        <w:spacing w:before="80" w:after="80"/>
        <w:jc w:val="both"/>
      </w:pPr>
      <w:r>
        <w:rPr>
          <w:b/>
          <w:bCs/>
          <w:color w:val="1E8449"/>
        </w:rPr>
        <w:t>Basic Level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Authentication Mechanism: Basic user identification and access verification.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Data Type &amp; Transmission Mode: ASCII text file handling.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File Operations: Upload and download of a single file.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Operating Mode: Single, fixed data-channel connection mechanism.</w:t>
      </w:r>
    </w:p>
    <w:p>
      <w:pPr>
        <w:jc w:val="both"/>
      </w:pPr>
    </w:p>
    <w:p>
      <w:pPr>
        <w:spacing w:before="80" w:after="80"/>
        <w:jc w:val="both"/>
      </w:pPr>
      <w:r>
        <w:rPr>
          <w:b/>
          <w:bCs/>
          <w:color w:val="D35400"/>
        </w:rPr>
        <w:t>Advanced Level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Data Diversity: Binary file handling (images, video, archives) without corruption.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Directory Navigation &amp; Tree Support: Traverse, list, and manage nested folder structures.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Flexible Operating Modes: Active / Passive mode switching or automation.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Concurrency Control: Multi-threaded or multi-process server that fully isolates client sessions.</w:t>
      </w:r>
    </w:p>
    <w:p>
      <w:pPr>
        <w:jc w:val="both"/>
      </w:pPr>
    </w:p>
    <w:p>
      <w:pPr>
        <w:spacing w:before="80" w:after="80"/>
        <w:jc w:val="both"/>
      </w:pPr>
      <w:r>
        <w:rPr>
          <w:b/>
          <w:bCs/>
          <w:color w:val="C0392B"/>
        </w:rPr>
        <w:t>Excellent Level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Custom Reliable UDP Layer (RDT): ACKs, sequence numbers, timeout/retransmit (Stop-and-Wait, Go-Back-N, or Selective Repeat).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Congestion / Flow Control: Sliding Window or equivalent mechanism to prevent network flooding.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Data Integrity Verification: End-to-end MD5 / SHA-256 hash comparison pre- and post-transfer.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br w:type="page"/>
      </w:r>
    </w:p>
    <w:p>
      <w:pPr>
        <w:pStyle w:val="2"/>
        <w:pBdr>
          <w:bottom w:val="single" w:color="2E75B6" w:sz="6" w:space="4"/>
        </w:pBdr>
        <w:jc w:val="both"/>
      </w:pPr>
      <w:r>
        <w:t>2. Requirements</w:t>
      </w:r>
    </w:p>
    <w:p>
      <w:pPr>
        <w:pStyle w:val="3"/>
        <w:jc w:val="both"/>
      </w:pPr>
      <w:r>
        <w:t>2.1  General Implementation Rules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Language: C/C++, Java, Python, C# or equivalent.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Only native, low-level socket APIs bundled with the language runtime are permitted.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No pre-built FTP frameworks, third-party transfer libraries (e.g. KCP, QUIC, libcurl FTP wrappers) may be used.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The custom reliable UDP layer must be implemented from scratch by the student team.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A clear CLI or GUI must report network states, commands issued, and transfer progress.</w:t>
      </w:r>
    </w:p>
    <w:p>
      <w:pPr>
        <w:jc w:val="both"/>
      </w:pPr>
    </w:p>
    <w:p>
      <w:pPr>
        <w:pStyle w:val="3"/>
        <w:jc w:val="both"/>
      </w:pPr>
      <w:r>
        <w:t>2.2  Approved FTP Commands</w:t>
      </w:r>
    </w:p>
    <w:p>
      <w:pPr>
        <w:spacing w:before="80" w:after="80"/>
        <w:jc w:val="both"/>
      </w:pPr>
      <w:r>
        <w:rPr>
          <w:color w:val="404040"/>
        </w:rPr>
        <w:t xml:space="preserve">The following table defines the complete list of FTP commands accepted by this project. Each command must be transmitted over the </w:t>
      </w:r>
      <w:r>
        <w:rPr>
          <w:b/>
          <w:bCs/>
          <w:color w:val="404040"/>
        </w:rPr>
        <w:t>TCP control channel</w:t>
      </w:r>
      <w:r>
        <w:rPr>
          <w:color w:val="404040"/>
        </w:rPr>
        <w:t xml:space="preserve">. The </w:t>
      </w:r>
      <w:r>
        <w:rPr>
          <w:b/>
          <w:bCs/>
          <w:color w:val="404040"/>
        </w:rPr>
        <w:t>Level</w:t>
      </w:r>
      <w:r>
        <w:rPr>
          <w:color w:val="404040"/>
        </w:rPr>
        <w:t xml:space="preserve"> column indicates the evaluation tier at which the command is expected to be functional.</w:t>
      </w:r>
    </w:p>
    <w:p>
      <w:pPr>
        <w:jc w:val="both"/>
      </w:pPr>
    </w:p>
    <w:tbl>
      <w:tblPr>
        <w:tblStyle w:val="9"/>
        <w:tblW w:w="9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8"/>
        <w:gridCol w:w="2213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38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2213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Syntax</w:t>
            </w:r>
          </w:p>
        </w:tc>
        <w:tc>
          <w:tcPr>
            <w:tcW w:w="6146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USER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USER &lt;username&gt;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Send the client's username to initiate an authentication session.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PASS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PASS &lt;password&gt;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Send the client's password to complete authentication.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QUIT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QUIT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Gracefully terminate the control connection and end the session.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NOOP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NOOP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No-operation; used as a keep-alive ping to prevent session timeout.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PWD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PWD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Print the server's current working directory path.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CWD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CWD &lt;path&gt;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Change the server's current working directory to the specified path.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CDUP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CDUP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Change the server's working directory to its parent directory.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MKD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MKD &lt;dirname&gt;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Create a new directory on the server at the current path.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RMD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RMD &lt;dirname&gt;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Remove an empty directory from the server.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LIST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LIST [path]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Return a detailed listing (name, size, type, permissions) of files and directories in the current or specified path.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NLST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NLST [path]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Return a plain name-only listing of files in the current or specified path.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STAT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STAT [path]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Return server status or, if a path is given, file/directory metadata.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SIZE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SIZE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Return the exact byte size of the specified file on the server.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MDTM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MDTM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Return the last modification timestamp of the specified file (format: YYYYMMDDhhmmss).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TYPE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TYPE {A | I}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Set the data transfer type: A = ASCII (text), I = Image/Binary.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MODE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MODE {S | B | C}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Set the transfer mode: S = Stream, B = Block, C = Compressed.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PORT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PORT &lt;h1,h2,h3,h4,p1,p2&gt;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Active Mode: Client specifies its IP and port for the server to open the data connection back 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PASV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PASV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Passive Mode: Server opens a random port and returns its IP + port for the client to connect 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RETR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RETR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Retrieve (download) the specified file from the server to the client via the data channel.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STOR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STOR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Store (upload) a file from the client to the server using the current filename.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STOU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STOU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Store a file with a guaranteed unique server-generated filename to prevent overwrites.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APPE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APPE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Append the uploaded data to an existing file on the server; create it if absent.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DELE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DELE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Delete the specified file from the server.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RNFR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RNFR &lt;oldname&gt;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Rename From: specify the file to be renamed (must be followed by RNTO).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RNTO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RNTO &lt;newname&gt;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Rename To: complete the rename operation initiated by RNFR.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HASH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HASH &lt;filename&gt;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Request a cryptographic hash (MD5 or SHA-256) of the specified file for post-transfer integrity verification.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ABOR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ABOR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Abort the current data transfer in progress; data channel is reset.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20"/>
                <w:szCs w:val="20"/>
              </w:rPr>
              <w:t>HELP</w:t>
            </w:r>
          </w:p>
        </w:tc>
        <w:tc>
          <w:tcPr>
            <w:tcW w:w="2213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>HELP [command]</w:t>
            </w:r>
          </w:p>
        </w:tc>
        <w:tc>
          <w:tcPr>
            <w:tcW w:w="61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6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Return help text for all supported commands, or detailed usage for a specific command.</w:t>
            </w:r>
          </w:p>
        </w:tc>
      </w:tr>
    </w:tbl>
    <w:p>
      <w:pPr>
        <w:jc w:val="both"/>
      </w:pPr>
    </w:p>
    <w:p>
      <w:pPr>
        <w:pStyle w:val="3"/>
        <w:jc w:val="both"/>
      </w:pPr>
      <w:r>
        <w:t>2.3  Standard Server Reply Codes</w:t>
      </w:r>
    </w:p>
    <w:p>
      <w:pPr>
        <w:spacing w:before="80" w:after="80"/>
        <w:jc w:val="both"/>
      </w:pPr>
      <w:r>
        <w:rPr>
          <w:color w:val="404040"/>
        </w:rPr>
        <w:t>The server must respond to every client command using standard three-digit FTP reply codes over the TCP control channel:</w:t>
      </w:r>
    </w:p>
    <w:p>
      <w:pPr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5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4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76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Common Examples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2E75B6"/>
                <w:sz w:val="20"/>
                <w:szCs w:val="20"/>
              </w:rPr>
              <w:t>1xx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Positive Preliminary Reply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125 Data connection already open; 150 File status okay, opening data connection.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2E75B6"/>
                <w:sz w:val="20"/>
                <w:szCs w:val="20"/>
              </w:rPr>
              <w:t>2xx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Positive Completion Reply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200 Command OK; 220 Service ready; 221 Goodbye; 226 Transfer complete; 230 Login successful; 250 Requested file action OK.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2E75B6"/>
                <w:sz w:val="20"/>
                <w:szCs w:val="20"/>
              </w:rPr>
              <w:t>3xx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Positive Intermediate Reply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331 Username OK, need password; 350 Requested file action pending RNTO.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2E75B6"/>
                <w:sz w:val="20"/>
                <w:szCs w:val="20"/>
              </w:rPr>
              <w:t>4xx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Transient Negative Reply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421 Service unavailable; 425 Can't open data connection; 426 Connection closed; transfer aborted; 450 File unavailable.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2E75B6"/>
                <w:sz w:val="20"/>
                <w:szCs w:val="20"/>
              </w:rPr>
              <w:t>5xx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Permanent Negative Reply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20"/>
                <w:szCs w:val="20"/>
              </w:rPr>
              <w:t>500 Syntax error; 501 Syntax error in parameters; 502 Command not implemented; 530 Not logged in; 550 File unavailable.</w:t>
            </w:r>
          </w:p>
        </w:tc>
      </w:tr>
    </w:tbl>
    <w:p>
      <w:pPr>
        <w:jc w:val="both"/>
      </w:pPr>
    </w:p>
    <w:p>
      <w:pPr>
        <w:pStyle w:val="3"/>
        <w:jc w:val="both"/>
      </w:pPr>
      <w:r>
        <w:t>2.4  Technical Report Requirements</w:t>
      </w:r>
    </w:p>
    <w:p>
      <w:pPr>
        <w:spacing w:before="80" w:after="80"/>
        <w:jc w:val="both"/>
      </w:pPr>
      <w:r>
        <w:rPr>
          <w:color w:val="404040"/>
        </w:rPr>
        <w:t>The technical report must contain all of the following numbered sections:</w:t>
      </w:r>
    </w:p>
    <w:p>
      <w:pPr>
        <w:pStyle w:val="19"/>
        <w:numPr>
          <w:ilvl w:val="0"/>
          <w:numId w:val="2"/>
        </w:numPr>
        <w:spacing w:before="40" w:after="40"/>
        <w:jc w:val="both"/>
      </w:pPr>
      <w:r>
        <w:rPr>
          <w:color w:val="404040"/>
        </w:rPr>
        <w:t>Application Scenario &amp; Protocol Interaction — Sequence diagram of the full TCP + UDP lifecycle.</w:t>
      </w:r>
    </w:p>
    <w:p>
      <w:pPr>
        <w:pStyle w:val="19"/>
        <w:numPr>
          <w:ilvl w:val="0"/>
          <w:numId w:val="2"/>
        </w:numPr>
        <w:spacing w:before="40" w:after="40"/>
        <w:jc w:val="both"/>
      </w:pPr>
      <w:r>
        <w:rPr>
          <w:color w:val="404040"/>
        </w:rPr>
        <w:t>Project-Wide Data Structures — TCP control packet format, UDP custom header fields (sequence no., ACK, checksum, flags, payload length), session management structures.</w:t>
      </w:r>
    </w:p>
    <w:p>
      <w:pPr>
        <w:pStyle w:val="19"/>
        <w:numPr>
          <w:ilvl w:val="0"/>
          <w:numId w:val="2"/>
        </w:numPr>
        <w:spacing w:before="40" w:after="40"/>
        <w:jc w:val="both"/>
      </w:pPr>
      <w:r>
        <w:rPr>
          <w:color w:val="404040"/>
        </w:rPr>
        <w:t>Functional Workflows (Flowcharts) — Server thread-dispatch logic, reliable UDP sender/receiver state machines, Active/Passive mode toggle.</w:t>
      </w:r>
    </w:p>
    <w:p>
      <w:pPr>
        <w:pStyle w:val="19"/>
        <w:numPr>
          <w:ilvl w:val="0"/>
          <w:numId w:val="2"/>
        </w:numPr>
        <w:spacing w:before="40" w:after="40"/>
        <w:jc w:val="both"/>
      </w:pPr>
      <w:r>
        <w:rPr>
          <w:color w:val="404040"/>
        </w:rPr>
        <w:t>Task Assignment Matrix — Module owner and collaborators for every engineering component.</w:t>
      </w:r>
    </w:p>
    <w:p>
      <w:pPr>
        <w:pStyle w:val="19"/>
        <w:numPr>
          <w:ilvl w:val="0"/>
          <w:numId w:val="2"/>
        </w:numPr>
        <w:spacing w:before="40" w:after="40"/>
        <w:jc w:val="both"/>
      </w:pPr>
      <w:r>
        <w:rPr>
          <w:color w:val="404040"/>
        </w:rPr>
        <w:t>Self-Assessment &amp; Peer Evaluation — Individual written evaluations plus an agreed contribution percentage totalling 100%.</w:t>
      </w:r>
    </w:p>
    <w:p>
      <w:pPr>
        <w:pStyle w:val="19"/>
        <w:numPr>
          <w:ilvl w:val="0"/>
          <w:numId w:val="2"/>
        </w:numPr>
        <w:spacing w:before="40" w:after="40"/>
        <w:jc w:val="both"/>
      </w:pPr>
      <w:r>
        <w:rPr>
          <w:color w:val="404040"/>
        </w:rPr>
        <w:t>GenAI Usage &amp; Code Refinement Log (Mandatory Appendix) — Exact prompts, raw AI output, and documented refinements showing critical analysis.</w:t>
      </w:r>
    </w:p>
    <w:p>
      <w:pPr>
        <w:pStyle w:val="19"/>
        <w:numPr>
          <w:ilvl w:val="0"/>
          <w:numId w:val="2"/>
        </w:numPr>
        <w:spacing w:before="40" w:after="40"/>
        <w:jc w:val="both"/>
      </w:pPr>
      <w:r>
        <w:rPr>
          <w:color w:val="404040"/>
        </w:rPr>
        <w:t>Application Demo Evidence — Screenshots / logs of upload, download, hash comparison, connected-client table, and concurrent session test.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br w:type="page"/>
      </w:r>
    </w:p>
    <w:p>
      <w:pPr>
        <w:pStyle w:val="2"/>
        <w:pBdr>
          <w:bottom w:val="single" w:color="2E75B6" w:sz="6" w:space="4"/>
        </w:pBdr>
        <w:jc w:val="both"/>
      </w:pPr>
      <w:r>
        <w:t>3. Grading Rubric</w:t>
      </w:r>
    </w:p>
    <w:p>
      <w:pPr>
        <w:spacing w:before="80" w:after="80"/>
        <w:jc w:val="both"/>
      </w:pPr>
      <w:r>
        <w:rPr>
          <w:color w:val="404040"/>
        </w:rPr>
        <w:t xml:space="preserve">Assessment is conducted via an </w:t>
      </w:r>
      <w:r>
        <w:rPr>
          <w:b/>
          <w:bCs/>
          <w:color w:val="404040"/>
        </w:rPr>
        <w:t>Oral Defense (Viva Voce)</w:t>
      </w:r>
      <w:r>
        <w:rPr>
          <w:color w:val="404040"/>
        </w:rPr>
        <w:t xml:space="preserve"> combined with a live software demonstration (Demo) and technical report review. The rubric below distributes 100% of the grade across four criteria.</w:t>
      </w:r>
    </w:p>
    <w:p>
      <w:pPr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6"/>
        <w:gridCol w:w="861"/>
        <w:gridCol w:w="1708"/>
        <w:gridCol w:w="1708"/>
        <w:gridCol w:w="1708"/>
        <w:gridCol w:w="17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60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1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Unsatisfactory (0)</w:t>
            </w:r>
          </w:p>
        </w:tc>
        <w:tc>
          <w:tcPr>
            <w:tcW w:w="1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D35400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Satisfactory (Pass)</w:t>
            </w:r>
          </w:p>
        </w:tc>
        <w:tc>
          <w:tcPr>
            <w:tcW w:w="1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Good / Very Good</w:t>
            </w:r>
          </w:p>
        </w:tc>
        <w:tc>
          <w:tcPr>
            <w:tcW w:w="1640" w:type="dxa"/>
            <w:tcBorders>
              <w:top w:val="single" w:color="1F3864" w:sz="0" w:space="0"/>
              <w:left w:val="single" w:color="1F3864" w:sz="0" w:space="0"/>
              <w:bottom w:val="single" w:color="1F3864" w:sz="0" w:space="0"/>
              <w:right w:val="single" w:color="1F3864" w:sz="0" w:space="0"/>
            </w:tcBorders>
            <w:shd w:val="clear" w:color="auto" w:fill="1E844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Excellent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18"/>
                <w:szCs w:val="18"/>
              </w:rPr>
              <w:t>Code Quality &amp; Application Demo</w:t>
            </w:r>
          </w:p>
        </w:tc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both"/>
            </w:pPr>
            <w:r>
              <w:rPr>
                <w:b/>
                <w:bCs/>
                <w:color w:val="C0392B"/>
                <w:sz w:val="20"/>
                <w:szCs w:val="20"/>
              </w:rPr>
              <w:t>40%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Fails to compile or crashes. Cannot transfer files. Used banned FTP libraries.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Runs safely; transfers ASCII files in a single, fixed operating mode; single-threaded server.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Stable binary transfers; multi-threaded concurrent server; full directory tree operations.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Optimised reliable UDP (ACK + timeout recovery); functional congestion control or end-to-end hash verification.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18"/>
                <w:szCs w:val="18"/>
              </w:rPr>
              <w:t>Theoretical Understanding (Oral Viva)</w:t>
            </w:r>
          </w:p>
        </w:tc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both"/>
            </w:pPr>
            <w:r>
              <w:rPr>
                <w:b/>
                <w:bCs/>
                <w:color w:val="C0392B"/>
                <w:sz w:val="20"/>
                <w:szCs w:val="20"/>
              </w:rPr>
              <w:t>30%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Cannot distinguish TCP vs UDP. Does not understand control/data channel split. Cannot explain own socket calls.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Accurately explains socket workflow and TCP handshake; high-level rationale for hybrid design.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Articulates Active/Passive mode nuances; explains concurrency model; details every byte in the custom UDP header.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Flawless mastery of RDT states (Stop-and-Wait, GBN, SR); defends bandwidth optimisation strategies with mathematical precision.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18"/>
                <w:szCs w:val="18"/>
              </w:rPr>
              <w:t>Live Coding &amp; On-the-Spot Debugging</w:t>
            </w:r>
          </w:p>
        </w:tc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both"/>
            </w:pPr>
            <w:r>
              <w:rPr>
                <w:b/>
                <w:bCs/>
                <w:color w:val="C0392B"/>
                <w:sz w:val="20"/>
                <w:szCs w:val="20"/>
              </w:rPr>
              <w:t>20%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Cannot locate requested code blocks. Fails to fix minor logical errors when prompted.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Locates modules quickly; adjusts trivial parameters with minor guidance.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Efficiently identifies injected edge-case bugs; modifies control flow live without breaking stability.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Rewrites code segments live to satisfy arbitrary network constraints or edge-case scenarios set by the examiner.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b/>
                <w:bCs/>
                <w:color w:val="1F3864"/>
                <w:sz w:val="18"/>
                <w:szCs w:val="18"/>
              </w:rPr>
              <w:t>Technical Documentation &amp; GenAI Provenance</w:t>
            </w:r>
          </w:p>
        </w:tc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both"/>
            </w:pPr>
            <w:r>
              <w:rPr>
                <w:b/>
                <w:bCs/>
                <w:color w:val="C0392B"/>
                <w:sz w:val="20"/>
                <w:szCs w:val="20"/>
              </w:rPr>
              <w:t>10%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Plagiarised or superficial report. Missing diagrams, flowcharts, or structure definitions. GenAI log absent despite evident AI code.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All mandatory sections present; diagrams use non-standard notations; GenAI appendix merely copy-pastes prompts.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Professionally organised; diagrams accurately reflect the live codebase; GenAI log clearly distinguishes AI output from student adjustments.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</w:pPr>
            <w:r>
              <w:rPr>
                <w:color w:val="404040"/>
                <w:sz w:val="18"/>
                <w:szCs w:val="18"/>
              </w:rPr>
              <w:t>Industry-grade documentation; packet headers charted to individual bit/byte fields; GenAI appendix shows deep critical auditing of AI output.</w:t>
            </w:r>
          </w:p>
        </w:tc>
      </w:tr>
    </w:tbl>
    <w:p>
      <w:pPr>
        <w:jc w:val="both"/>
      </w:pPr>
    </w:p>
    <w:p>
      <w:pPr>
        <w:jc w:val="both"/>
      </w:pPr>
    </w:p>
    <w:p>
      <w:pPr>
        <w:jc w:val="both"/>
      </w:pPr>
      <w:r>
        <w:br w:type="page"/>
      </w:r>
    </w:p>
    <w:p>
      <w:pPr>
        <w:pStyle w:val="2"/>
        <w:pBdr>
          <w:bottom w:val="single" w:color="2E75B6" w:sz="6" w:space="4"/>
        </w:pBdr>
        <w:jc w:val="both"/>
      </w:pPr>
      <w:r>
        <w:t>4. Critical Evaluation Directives</w:t>
      </w:r>
    </w:p>
    <w:p>
      <w:pPr>
        <w:pStyle w:val="3"/>
        <w:jc w:val="both"/>
      </w:pPr>
      <w:r>
        <w:t>4.1  Individual Grading Differentiation</w:t>
      </w:r>
    </w:p>
    <w:p>
      <w:pPr>
        <w:spacing w:before="80" w:after="80"/>
        <w:jc w:val="both"/>
      </w:pPr>
      <w:r>
        <w:rPr>
          <w:color w:val="404040"/>
        </w:rPr>
        <w:t xml:space="preserve">For groups of two or more students, </w:t>
      </w:r>
      <w:r>
        <w:rPr>
          <w:b/>
          <w:bCs/>
          <w:color w:val="404040"/>
        </w:rPr>
        <w:t>grades are not distributed equally</w:t>
      </w:r>
      <w:r>
        <w:rPr>
          <w:color w:val="404040"/>
        </w:rPr>
        <w:t xml:space="preserve">. Final individual scores are determined by: (a) the Task Assignment Matrix, (b) Peer Evaluations, and (c) targeted individual questions during the Oral Viva. A student who cannot explain the module assigned to them — or who demonstrates poor understanding of the shared system architecture — </w:t>
      </w:r>
      <w:r>
        <w:rPr>
          <w:b/>
          <w:bCs/>
          <w:color w:val="404040"/>
        </w:rPr>
        <w:t>will be marked down individually</w:t>
      </w:r>
      <w:r>
        <w:rPr>
          <w:color w:val="404040"/>
        </w:rPr>
        <w:t>, regardless of whether the group application functions perfectly.</w:t>
      </w:r>
    </w:p>
    <w:p>
      <w:pPr>
        <w:jc w:val="both"/>
      </w:pPr>
    </w:p>
    <w:p>
      <w:pPr>
        <w:pStyle w:val="3"/>
        <w:jc w:val="both"/>
      </w:pPr>
      <w:r>
        <w:t>4.2  Zero-Tolerance Policy for Unverifiable Code (GenAI Audit)</w:t>
      </w:r>
    </w:p>
    <w:p>
      <w:pPr>
        <w:spacing w:before="80" w:after="80"/>
        <w:jc w:val="both"/>
      </w:pPr>
      <w:r>
        <w:rPr>
          <w:color w:val="404040"/>
        </w:rPr>
        <w:t xml:space="preserve">The use of generative AI tools (ChatGPT, Gemini, Claude, GitHub Copilot, etc.) for learning and assistance is explicitly permitted. However, students must maintain absolute ownership of their code. If a student imports AI-generated code but is unable to explain its step-by-step logic, runtime execution, or underlying data structures during the oral examination, they will automatically receive an </w:t>
      </w:r>
      <w:r>
        <w:rPr>
          <w:b/>
          <w:bCs/>
          <w:color w:val="C0392B"/>
        </w:rPr>
        <w:t>Unsatisfactory (0 points)</w:t>
      </w:r>
      <w:r>
        <w:rPr>
          <w:color w:val="404040"/>
        </w:rPr>
        <w:t xml:space="preserve"> for both the Theoretical Understanding and Live Coding criteria.</w:t>
      </w:r>
    </w:p>
    <w:p>
      <w:pPr>
        <w:jc w:val="both"/>
      </w:pPr>
    </w:p>
    <w:p>
      <w:pPr>
        <w:pStyle w:val="3"/>
        <w:jc w:val="both"/>
      </w:pPr>
      <w:r>
        <w:t>4.3  GenAI Documentation Requirements</w:t>
      </w:r>
    </w:p>
    <w:p>
      <w:pPr>
        <w:spacing w:before="80" w:after="80"/>
        <w:jc w:val="both"/>
      </w:pPr>
      <w:r>
        <w:rPr>
          <w:color w:val="404040"/>
        </w:rPr>
        <w:t>All GenAI interactions must be transparently documented in the mandatory appendix, covering: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Prompts Used: the exact input queries submitted to the AI tool.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Raw GenAI Output: unedited code snippets or explanations returned.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Refinement &amp; Problem Solving: a critical analysis identifying errors, limitations, or banned libraries in the AI output, and documenting the manual debugging, refactoring, and optimisation performed by the student.</w:t>
      </w:r>
    </w:p>
    <w:p>
      <w:pPr>
        <w:pStyle w:val="3"/>
        <w:jc w:val="both"/>
      </w:pPr>
      <w:r>
        <w:t>4.4  Academic Integrity Policy</w:t>
      </w:r>
    </w:p>
    <w:p>
      <w:pPr>
        <w:spacing w:before="80" w:after="80"/>
        <w:jc w:val="both"/>
      </w:pPr>
      <w:r>
        <w:rPr>
          <w:color w:val="404040"/>
        </w:rPr>
        <w:t>This project is subject to the university's full academic integrity policy. In addition to the above: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Direct copy-paste of another group's code — with or without cosmetic renaming — is treated as plagiarism and results in a zero for the entire group.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All code must be version-controlled (e.g., Git). Examiners may request commit histories to verify incremental authorship.</w:t>
      </w:r>
    </w:p>
    <w:p>
      <w:pPr>
        <w:pStyle w:val="19"/>
        <w:numPr>
          <w:ilvl w:val="0"/>
          <w:numId w:val="1"/>
        </w:numPr>
        <w:spacing w:before="40" w:after="40"/>
        <w:jc w:val="both"/>
      </w:pPr>
      <w:r>
        <w:rPr>
          <w:color w:val="404040"/>
        </w:rPr>
        <w:t>Any third-party code used beyond approved libraries must be fully cited and explained; undisclosed use constitutes academic dishonesty.</w:t>
      </w:r>
    </w:p>
    <w:p>
      <w:pPr>
        <w:pStyle w:val="3"/>
        <w:jc w:val="both"/>
      </w:pPr>
      <w:r>
        <w:t>4.5  Demo &amp; Submission Checklist</w:t>
      </w:r>
    </w:p>
    <w:p>
      <w:pPr>
        <w:spacing w:before="80" w:after="80"/>
        <w:jc w:val="both"/>
      </w:pPr>
      <w:r>
        <w:rPr>
          <w:color w:val="404040"/>
        </w:rPr>
        <w:t>Before the Oral Defense, every group must verify:</w:t>
      </w:r>
    </w:p>
    <w:p>
      <w:pPr>
        <w:pStyle w:val="19"/>
        <w:numPr>
          <w:ilvl w:val="0"/>
          <w:numId w:val="3"/>
        </w:numPr>
        <w:spacing w:before="40" w:after="40"/>
        <w:jc w:val="both"/>
      </w:pPr>
      <w:r>
        <w:rPr>
          <w:color w:val="404040"/>
        </w:rPr>
        <w:t>Source code compiles and runs without errors on a clean machine.</w:t>
      </w:r>
    </w:p>
    <w:p>
      <w:pPr>
        <w:pStyle w:val="19"/>
        <w:numPr>
          <w:ilvl w:val="0"/>
          <w:numId w:val="3"/>
        </w:numPr>
        <w:spacing w:before="40" w:after="40"/>
        <w:jc w:val="both"/>
      </w:pPr>
      <w:r>
        <w:rPr>
          <w:color w:val="404040"/>
        </w:rPr>
        <w:t>At least one successful upload and one download are demonstrable live.</w:t>
      </w:r>
    </w:p>
    <w:p>
      <w:pPr>
        <w:pStyle w:val="19"/>
        <w:numPr>
          <w:ilvl w:val="0"/>
          <w:numId w:val="3"/>
        </w:numPr>
        <w:spacing w:before="40" w:after="40"/>
        <w:jc w:val="both"/>
      </w:pPr>
      <w:r>
        <w:rPr>
          <w:color w:val="404040"/>
        </w:rPr>
        <w:t>Server log displays connected client IPs, executed commands, and active session table.</w:t>
      </w:r>
    </w:p>
    <w:p>
      <w:pPr>
        <w:pStyle w:val="19"/>
        <w:numPr>
          <w:ilvl w:val="0"/>
          <w:numId w:val="3"/>
        </w:numPr>
        <w:spacing w:before="40" w:after="40"/>
        <w:jc w:val="both"/>
      </w:pPr>
      <w:r>
        <w:rPr>
          <w:color w:val="404040"/>
        </w:rPr>
        <w:t>Technical report includes all seven mandatory sections (see Section 2.4).</w:t>
      </w:r>
    </w:p>
    <w:p>
      <w:pPr>
        <w:pStyle w:val="19"/>
        <w:numPr>
          <w:ilvl w:val="0"/>
          <w:numId w:val="3"/>
        </w:numPr>
        <w:spacing w:before="40" w:after="40"/>
        <w:jc w:val="both"/>
      </w:pPr>
      <w:r>
        <w:rPr>
          <w:color w:val="404040"/>
        </w:rPr>
        <w:t>GenAI appendix is complete and honest.</w:t>
      </w:r>
    </w:p>
    <w:p>
      <w:pPr>
        <w:pStyle w:val="19"/>
        <w:numPr>
          <w:ilvl w:val="0"/>
          <w:numId w:val="3"/>
        </w:numPr>
        <w:spacing w:before="40" w:after="40"/>
        <w:jc w:val="both"/>
      </w:pPr>
      <w:r>
        <w:rPr>
          <w:color w:val="404040"/>
        </w:rPr>
        <w:t>Contribution percentages have been agreed upon and declared by all group members.</w:t>
      </w:r>
    </w:p>
    <w:p>
      <w:pPr>
        <w:pStyle w:val="19"/>
        <w:numPr>
          <w:ilvl w:val="0"/>
          <w:numId w:val="3"/>
        </w:numPr>
        <w:spacing w:before="40" w:after="40"/>
        <w:jc w:val="both"/>
      </w:pPr>
      <w:r>
        <w:rPr>
          <w:color w:val="404040"/>
        </w:rPr>
        <w:t>All demo evidence (screenshots, hash logs) is embedded in the report.</w:t>
      </w:r>
    </w:p>
    <w:p>
      <w:pPr>
        <w:jc w:val="both"/>
      </w:pPr>
    </w:p>
    <w:p>
      <w:pPr>
        <w:pBdr>
          <w:top w:val="single" w:color="2E75B6" w:sz="6" w:space="4"/>
        </w:pBdr>
        <w:spacing w:before="240"/>
        <w:jc w:val="both"/>
      </w:pPr>
      <w:r>
        <w:rPr>
          <w:i/>
          <w:iCs/>
          <w:color w:val="404040"/>
          <w:sz w:val="20"/>
          <w:szCs w:val="20"/>
        </w:rPr>
        <w:t>— End of Project Specification —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panose1 w:val="020B0604020202020204"/>
    <w:charset w:val="86"/>
    <w:family w:val="swiss"/>
    <w:pitch w:val="default"/>
    <w:sig w:usb0="00007A87" w:usb1="80000000" w:usb2="00000008" w:usb3="00000000" w:csb0="400001FF" w:csb1="FFFF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2E75B6" w:sz="6" w:space="2"/>
      </w:pBdr>
      <w:tabs>
        <w:tab w:val="right" w:pos="9000"/>
      </w:tabs>
      <w:spacing w:before="120"/>
    </w:pPr>
    <w:r>
      <w:rPr>
        <w:sz w:val="16"/>
        <w:szCs w:val="16"/>
      </w:rPr>
      <w:tab/>
    </w:r>
    <w:r>
      <w:rPr>
        <w:color w:val="404040"/>
        <w:sz w:val="16"/>
        <w:szCs w:val="16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2E75B6" w:sz="6" w:space="2"/>
      </w:pBdr>
      <w:tabs>
        <w:tab w:val="right" w:pos="9000"/>
      </w:tabs>
      <w:spacing w:after="120"/>
    </w:pPr>
    <w:r>
      <w:rPr>
        <w:rFonts w:hint="default" w:ascii="Arial" w:hAnsi="Arial" w:eastAsia="Arial" w:cs="Arial"/>
        <w:color w:val="2E75B6"/>
        <w:sz w:val="18"/>
        <w:szCs w:val="18"/>
        <w:lang w:val="vi-VN"/>
      </w:rPr>
      <w:t>Computer Networking</w:t>
    </w:r>
    <w:r>
      <w:rPr>
        <w:rFonts w:ascii="Arial" w:hAnsi="Arial" w:eastAsia="Arial" w:cs="Arial"/>
        <w:color w:val="2E75B6"/>
        <w:sz w:val="18"/>
        <w:szCs w:val="18"/>
      </w:rPr>
      <w:t xml:space="preserve">  |  </w:t>
    </w:r>
    <w:r>
      <w:rPr>
        <w:rFonts w:ascii="Arial" w:hAnsi="Arial" w:eastAsia="Arial" w:cs="Arial"/>
        <w:color w:val="2E75B6"/>
        <w:sz w:val="18"/>
        <w:szCs w:val="18"/>
        <w:lang w:val="en-US"/>
      </w:rPr>
      <w:t>L</w:t>
    </w:r>
    <w:r>
      <w:rPr>
        <w:color w:val="2E75B6"/>
        <w:sz w:val="18"/>
        <w:szCs w:val="18"/>
        <w:lang w:val="en-US"/>
      </w:rPr>
      <w:t xml:space="preserve">ab </w:t>
    </w:r>
    <w:r>
      <w:rPr>
        <w:color w:val="2E75B6"/>
        <w:sz w:val="18"/>
        <w:szCs w:val="18"/>
      </w:rPr>
      <w:t>Project</w:t>
    </w:r>
    <w:r>
      <w:rPr>
        <w:sz w:val="18"/>
        <w:szCs w:val="18"/>
      </w:rPr>
      <w:tab/>
    </w:r>
    <w:r>
      <w:rPr>
        <w:i/>
        <w:iCs/>
        <w:color w:val="404040"/>
        <w:sz w:val="18"/>
        <w:szCs w:val="18"/>
      </w:rPr>
      <w:t xml:space="preserve">Hybrid </w:t>
    </w:r>
    <w:r>
      <w:rPr>
        <w:i/>
        <w:iCs/>
        <w:color w:val="404040"/>
        <w:sz w:val="18"/>
        <w:szCs w:val="18"/>
        <w:lang w:val="en-US"/>
      </w:rPr>
      <w:t>FTP</w:t>
    </w:r>
    <w:r>
      <w:rPr>
        <w:i/>
        <w:iCs/>
        <w:color w:val="404040"/>
        <w:sz w:val="18"/>
        <w:szCs w:val="18"/>
      </w:rPr>
      <w:t xml:space="preserve">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16535"/>
    <w:multiLevelType w:val="multilevel"/>
    <w:tmpl w:val="0261653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36BE4F32"/>
    <w:multiLevelType w:val="multilevel"/>
    <w:tmpl w:val="36BE4F3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40165C51"/>
    <w:multiLevelType w:val="multilevel"/>
    <w:tmpl w:val="40165C5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B52"/>
    <w:rsid w:val="00242D88"/>
    <w:rsid w:val="002F466F"/>
    <w:rsid w:val="003F4E90"/>
    <w:rsid w:val="007A7E76"/>
    <w:rsid w:val="00A732F7"/>
    <w:rsid w:val="00DC2B52"/>
    <w:rsid w:val="4FF41AC4"/>
    <w:rsid w:val="5FEF8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zh-CN" w:eastAsia="en-US" w:bidi="ar-SA"/>
    </w:rPr>
  </w:style>
  <w:style w:type="paragraph" w:styleId="2">
    <w:name w:val="heading 1"/>
    <w:next w:val="1"/>
    <w:qFormat/>
    <w:uiPriority w:val="9"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28"/>
      <w:szCs w:val="28"/>
      <w:lang w:val="zh-CN" w:eastAsia="en-US" w:bidi="ar-SA"/>
    </w:rPr>
  </w:style>
  <w:style w:type="paragraph" w:styleId="3">
    <w:name w:val="heading 2"/>
    <w:next w:val="1"/>
    <w:unhideWhenUsed/>
    <w:qFormat/>
    <w:uiPriority w:val="9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4"/>
      <w:szCs w:val="24"/>
      <w:lang w:val="zh-CN" w:eastAsia="en-US" w:bidi="ar-SA"/>
    </w:rPr>
  </w:style>
  <w:style w:type="paragraph" w:styleId="4">
    <w:name w:val="heading 3"/>
    <w:next w:val="1"/>
    <w:semiHidden/>
    <w:unhideWhenUsed/>
    <w:qFormat/>
    <w:uiPriority w:val="9"/>
    <w:pPr>
      <w:spacing w:before="180" w:after="60"/>
      <w:outlineLvl w:val="2"/>
    </w:pPr>
    <w:rPr>
      <w:rFonts w:ascii="Arial" w:hAnsi="Arial" w:eastAsia="Arial" w:cs="Arial"/>
      <w:b/>
      <w:bCs/>
      <w:color w:val="404040"/>
      <w:sz w:val="22"/>
      <w:szCs w:val="22"/>
      <w:lang w:val="zh-CN" w:eastAsia="en-US" w:bidi="ar-SA"/>
    </w:rPr>
  </w:style>
  <w:style w:type="paragraph" w:styleId="5">
    <w:name w:val="heading 4"/>
    <w:next w:val="1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zh-CN" w:eastAsia="en-US" w:bidi="ar-SA"/>
    </w:rPr>
  </w:style>
  <w:style w:type="paragraph" w:styleId="6">
    <w:name w:val="heading 5"/>
    <w:next w:val="1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zh-CN" w:eastAsia="en-US" w:bidi="ar-SA"/>
    </w:rPr>
  </w:style>
  <w:style w:type="paragraph" w:styleId="7">
    <w:name w:val="heading 6"/>
    <w:next w:val="1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zh-C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Arial" w:hAnsi="Arial" w:eastAsia="Arial" w:cs="Arial"/>
      <w:sz w:val="20"/>
      <w:szCs w:val="20"/>
      <w:lang w:val="zh-CN" w:eastAsia="en-US" w:bidi="ar-SA"/>
    </w:rPr>
  </w:style>
  <w:style w:type="paragraph" w:styleId="12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Arial" w:hAnsi="Arial" w:eastAsia="Arial" w:cs="Arial"/>
      <w:sz w:val="20"/>
      <w:szCs w:val="20"/>
      <w:lang w:val="zh-CN" w:eastAsia="en-US" w:bidi="ar-SA"/>
    </w:rPr>
  </w:style>
  <w:style w:type="paragraph" w:styleId="15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Arial" w:hAnsi="Arial" w:eastAsia="Arial" w:cs="Arial"/>
      <w:sz w:val="56"/>
      <w:szCs w:val="56"/>
      <w:lang w:val="zh-CN" w:eastAsia="en-US" w:bidi="ar-SA"/>
    </w:rPr>
  </w:style>
  <w:style w:type="paragraph" w:customStyle="1" w:styleId="18">
    <w:name w:val="Strong1"/>
    <w:qFormat/>
    <w:uiPriority w:val="0"/>
    <w:rPr>
      <w:rFonts w:ascii="Arial" w:hAnsi="Arial" w:eastAsia="Arial" w:cs="Arial"/>
      <w:b/>
      <w:bCs/>
      <w:sz w:val="22"/>
      <w:szCs w:val="22"/>
      <w:lang w:val="zh-CN" w:eastAsia="en-US" w:bidi="ar-SA"/>
    </w:r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  <w:lang w:val="zh-CN" w:eastAsia="en-US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qFormat/>
    <w:uiPriority w:val="99"/>
  </w:style>
  <w:style w:type="character" w:customStyle="1" w:styleId="23">
    <w:name w:val="Footer Char"/>
    <w:basedOn w:val="8"/>
    <w:link w:val="1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1883</Words>
  <Characters>10735</Characters>
  <Lines>89</Lines>
  <Paragraphs>25</Paragraphs>
  <TotalTime>2</TotalTime>
  <ScaleCrop>false</ScaleCrop>
  <LinksUpToDate>false</LinksUpToDate>
  <CharactersWithSpaces>12593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2026-06-03T05:58:00Z</dcterms:created>
  <dc:creator>Un-named</dc:creator>
  <cp:lastModifiedBy>tony</cp:lastModifiedBy>
  <dcterms:modified xsi:type="dcterms:W3CDTF">2026-07-09T10:51:34Z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1033-11.1.0.11691</vt:lpwstr>
  </property>
</Properties>
</file>