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1B34" w14:textId="77777777" w:rsidR="00204E0E" w:rsidRDefault="00204E0E" w:rsidP="00204E0E">
      <w:pPr>
        <w:pStyle w:val="Body"/>
        <w:spacing w:line="480" w:lineRule="auto"/>
        <w:rPr>
          <w:rFonts w:ascii="Avenir Heavy" w:eastAsia="Avenir Heavy" w:hAnsi="Avenir Heavy" w:cs="Avenir Heavy"/>
        </w:rPr>
      </w:pPr>
      <w:r>
        <w:rPr>
          <w:rFonts w:ascii="Avenir Heavy" w:hAnsi="Avenir Heavy"/>
          <w:lang w:val="it-IT"/>
        </w:rPr>
        <w:t>Metabolomic Data collection:</w:t>
      </w:r>
    </w:p>
    <w:p w14:paraId="0CFB6187" w14:textId="77777777" w:rsidR="00204E0E" w:rsidRDefault="00204E0E" w:rsidP="00204E0E">
      <w:pPr>
        <w:pStyle w:val="Body"/>
        <w:spacing w:line="480" w:lineRule="auto"/>
        <w:rPr>
          <w:rFonts w:ascii="Avenir Heavy" w:eastAsia="Avenir Heavy" w:hAnsi="Avenir Heavy" w:cs="Avenir Heavy"/>
        </w:rPr>
      </w:pPr>
      <w:r>
        <w:rPr>
          <w:rFonts w:ascii="Avenir Book" w:hAnsi="Avenir Book"/>
          <w:lang w:val="en-US"/>
        </w:rPr>
        <w:t xml:space="preserve">Prepared samples were analyzed via chromatographic separation, in-line with mass spectrometry. Ultra-high-performance liquid chromatography (UHPLC) was performed using the Thermo Scientific Ultimate 3000 RS UHPLC platform. Specific settings and flow regimes are in Supplemental Methods. For reversed-phase analysis the instrument was fitted with a Waters Acquity UPLC BEH, 1.7 </w:t>
      </w:r>
      <w:r>
        <w:rPr>
          <w:rFonts w:ascii="Tw Cen MT" w:hAnsi="Tw Cen MT"/>
          <w:lang w:val="en-US"/>
        </w:rPr>
        <w:t>µ</w:t>
      </w:r>
      <w:r>
        <w:rPr>
          <w:rFonts w:ascii="Avenir Book" w:hAnsi="Avenir Book"/>
          <w:lang w:val="en-US"/>
        </w:rPr>
        <w:t>m, 2.1 x 100 mm, C-18 column heated at 40</w:t>
      </w:r>
      <w:r>
        <w:rPr>
          <w:rFonts w:ascii="Avenir Book" w:hAnsi="Avenir Book"/>
          <w:vertAlign w:val="superscript"/>
        </w:rPr>
        <w:t>o</w:t>
      </w:r>
      <w:r>
        <w:rPr>
          <w:rFonts w:ascii="Avenir Book" w:hAnsi="Avenir Book"/>
          <w:lang w:val="en-US"/>
        </w:rPr>
        <w:t>C with a flow rate of 0.4 ml/min. For positive mode C18 runs buffer A was water, 0.1% formic acid and buffer B was 100% acetonitrile, 0.1% formic acid. The gradient started at 2% B and went up to 25% B in 1 min., then 80% B in 7 min., then 100% B in 6 min, and was held at 100% B for 2 min. For negative mode C18 the gradient was the same except the buffer A was 10 mM ammonium acetate, pH 9 and buffer B was 100% acetonitrile. For hydrophobic interactions chromatography (HILIC) separations samples were run in negative polarity using a Millipore Sequant</w:t>
      </w:r>
      <w:r>
        <w:rPr>
          <w:rFonts w:ascii="Tw Cen MT" w:hAnsi="Tw Cen MT"/>
          <w:vertAlign w:val="superscript"/>
          <w:lang w:val="en-US"/>
        </w:rPr>
        <w:t>®</w:t>
      </w:r>
      <w:r>
        <w:rPr>
          <w:rFonts w:ascii="Avenir Book" w:hAnsi="Avenir Book"/>
        </w:rPr>
        <w:t xml:space="preserve"> Zic</w:t>
      </w:r>
      <w:r>
        <w:rPr>
          <w:rFonts w:ascii="Avenir Book" w:hAnsi="Avenir Book"/>
          <w:vertAlign w:val="superscript"/>
          <w:lang w:val="en-US"/>
        </w:rPr>
        <w:t>®</w:t>
      </w:r>
      <w:r>
        <w:rPr>
          <w:rFonts w:ascii="Avenir Book" w:hAnsi="Avenir Book"/>
          <w:lang w:val="en-US"/>
        </w:rPr>
        <w:t>-pHILIC, 5</w:t>
      </w:r>
      <w:r>
        <w:rPr>
          <w:rFonts w:ascii="Tw Cen MT" w:hAnsi="Tw Cen MT"/>
        </w:rPr>
        <w:t xml:space="preserve"> </w:t>
      </w:r>
      <w:r>
        <w:rPr>
          <w:rFonts w:ascii="Avenir Book" w:hAnsi="Avenir Book"/>
          <w:shd w:val="clear" w:color="auto" w:fill="FFFFFF"/>
          <w:lang w:val="en-US"/>
        </w:rPr>
        <w:t>µ</w:t>
      </w:r>
      <w:r>
        <w:rPr>
          <w:rFonts w:ascii="Avenir Book" w:hAnsi="Avenir Book"/>
          <w:lang w:val="en-US"/>
        </w:rPr>
        <w:t xml:space="preserve">m, 4.6 x 150 mm column at 0.4 ml/min. For HILIC, buffer A was 15 mM ammonium acetate pH 7 in 20% percent acetonitrile, 80% water and buffer B was 100% acetonitrile. The column was heated at </w:t>
      </w:r>
      <w:proofErr w:type="gramStart"/>
      <w:r>
        <w:rPr>
          <w:rFonts w:ascii="Avenir Book" w:hAnsi="Avenir Book"/>
          <w:lang w:val="en-US"/>
        </w:rPr>
        <w:t>40</w:t>
      </w:r>
      <w:r>
        <w:rPr>
          <w:rFonts w:ascii="Avenir Book" w:hAnsi="Avenir Book"/>
          <w:vertAlign w:val="superscript"/>
        </w:rPr>
        <w:t>o</w:t>
      </w:r>
      <w:r>
        <w:rPr>
          <w:rFonts w:ascii="Avenir Book" w:hAnsi="Avenir Book"/>
          <w:lang w:val="en-US"/>
        </w:rPr>
        <w:t>C</w:t>
      </w:r>
      <w:proofErr w:type="gramEnd"/>
      <w:r>
        <w:rPr>
          <w:rFonts w:ascii="Avenir Book" w:hAnsi="Avenir Book"/>
          <w:lang w:val="en-US"/>
        </w:rPr>
        <w:t xml:space="preserve"> and the flow rate was 0.4 ml/min starting at 81% B for 1 min, 81%-25% B over 18 min, and then held at 25% B for 2 min. For all separations, the column was in-line with a heated electrospray ionization source mounted to a Q Exactive™ </w:t>
      </w:r>
      <w:r>
        <w:rPr>
          <w:rFonts w:ascii="Avenir Book" w:hAnsi="Avenir Book"/>
          <w:lang w:val="it-IT"/>
        </w:rPr>
        <w:t xml:space="preserve">Quadrupole-Orbitrap mass spectrometer (Thermo </w:t>
      </w:r>
      <w:r>
        <w:rPr>
          <w:rFonts w:ascii="Avenir Book" w:hAnsi="Avenir Book"/>
          <w:lang w:val="it-IT"/>
        </w:rPr>
        <w:lastRenderedPageBreak/>
        <w:t xml:space="preserve">Scientific, </w:t>
      </w:r>
      <w:proofErr w:type="spellStart"/>
      <w:r>
        <w:rPr>
          <w:rFonts w:ascii="Avenir Book" w:hAnsi="Avenir Book"/>
          <w:lang w:val="it-IT"/>
        </w:rPr>
        <w:t>Waltham</w:t>
      </w:r>
      <w:proofErr w:type="spellEnd"/>
      <w:r>
        <w:rPr>
          <w:rFonts w:ascii="Avenir Book" w:hAnsi="Avenir Book"/>
          <w:lang w:val="it-IT"/>
        </w:rPr>
        <w:t>, MA)</w:t>
      </w:r>
      <w:r>
        <w:rPr>
          <w:rFonts w:ascii="Avenir Book" w:hAnsi="Avenir Book"/>
          <w:lang w:val="en-US"/>
        </w:rPr>
        <w:t xml:space="preserve">. The spray voltage was 3.4 kV in positive and negative mode, sheath gas flow at 50, auxiliary gas flow at 8, Slens RF at 55 V, probe heater at 400 </w:t>
      </w:r>
      <w:r>
        <w:rPr>
          <w:rFonts w:ascii="Avenir Book" w:hAnsi="Avenir Book"/>
          <w:vertAlign w:val="superscript"/>
        </w:rPr>
        <w:t>o</w:t>
      </w:r>
      <w:r>
        <w:rPr>
          <w:rFonts w:ascii="Avenir Book" w:hAnsi="Avenir Book"/>
          <w:lang w:val="en-US"/>
        </w:rPr>
        <w:t xml:space="preserve">C, and the heated capillary was maintained at 320 °C. The orbitrap was set to acquire MS1 mass spectra from 70–1050 m/z with a resolution of 70,000 at 200 m/z, an automatic gain control (AGC) of 1.0E6, and a max injection time of 200 ms. </w:t>
      </w:r>
      <w:proofErr w:type="gramStart"/>
      <w:r>
        <w:rPr>
          <w:rFonts w:ascii="Avenir Book" w:hAnsi="Avenir Book"/>
          <w:lang w:val="en-US"/>
        </w:rPr>
        <w:t>In order to</w:t>
      </w:r>
      <w:proofErr w:type="gramEnd"/>
      <w:r>
        <w:rPr>
          <w:rFonts w:ascii="Avenir Book" w:hAnsi="Avenir Book"/>
          <w:lang w:val="en-US"/>
        </w:rPr>
        <w:t xml:space="preserve"> obtain a thorough profile, the instrument was initially operated in full scan mode (MS1 only). After data analysis and identification of metabolites of interest fragmentation (MS2) studies were performed to assist in identification and quantification of metabolites of interest. For MS2 tandem mass spectra runs a target inclusion list of m/z values of interest was imported. Fragmentation by higher-energy collisional dissociation with stepped normalized collision energy of 30 and 60, a detector setting of 17.5 k resolution, AGC 1e5 ions, 100 ms maximum injection time was used. Dynamic exclusion was set to 1.5 s with a </w:t>
      </w:r>
      <w:proofErr w:type="gramStart"/>
      <w:r>
        <w:rPr>
          <w:rFonts w:ascii="Avenir Book" w:hAnsi="Avenir Book"/>
          <w:lang w:val="en-US"/>
        </w:rPr>
        <w:t>10 ppm</w:t>
      </w:r>
      <w:proofErr w:type="gramEnd"/>
      <w:r>
        <w:rPr>
          <w:rFonts w:ascii="Avenir Book" w:hAnsi="Avenir Book"/>
          <w:lang w:val="en-US"/>
        </w:rPr>
        <w:t xml:space="preserve"> mass tolerance.  </w:t>
      </w:r>
    </w:p>
    <w:p w14:paraId="22D91E09" w14:textId="77777777" w:rsidR="00204E0E" w:rsidRDefault="00204E0E" w:rsidP="00204E0E">
      <w:pPr>
        <w:pStyle w:val="Body"/>
        <w:spacing w:line="480" w:lineRule="auto"/>
        <w:rPr>
          <w:rFonts w:ascii="Avenir Heavy" w:hAnsi="Avenir Heavy"/>
          <w:lang w:val="en-US"/>
        </w:rPr>
      </w:pPr>
    </w:p>
    <w:p w14:paraId="7E61F643" w14:textId="77777777" w:rsidR="00204E0E" w:rsidRDefault="00204E0E" w:rsidP="00204E0E">
      <w:pPr>
        <w:pStyle w:val="Body"/>
        <w:spacing w:line="480" w:lineRule="auto"/>
        <w:rPr>
          <w:rFonts w:ascii="Avenir Heavy" w:eastAsia="Avenir Heavy" w:hAnsi="Avenir Heavy" w:cs="Avenir Heavy"/>
        </w:rPr>
      </w:pPr>
      <w:r>
        <w:rPr>
          <w:rFonts w:ascii="Avenir Heavy" w:hAnsi="Avenir Heavy"/>
          <w:lang w:val="en-US"/>
        </w:rPr>
        <w:t xml:space="preserve">Metabolomic Data Analysis: </w:t>
      </w:r>
    </w:p>
    <w:p w14:paraId="0F3174FC" w14:textId="77777777" w:rsidR="00204E0E" w:rsidRDefault="00204E0E" w:rsidP="00204E0E">
      <w:pPr>
        <w:pStyle w:val="Body"/>
        <w:spacing w:line="480" w:lineRule="auto"/>
        <w:rPr>
          <w:rFonts w:ascii="Avenir Heavy" w:eastAsia="Avenir Heavy" w:hAnsi="Avenir Heavy" w:cs="Avenir Heavy"/>
        </w:rPr>
      </w:pPr>
      <w:r>
        <w:rPr>
          <w:rFonts w:ascii="Avenir Book" w:hAnsi="Avenir Book"/>
          <w:lang w:val="en-US"/>
        </w:rPr>
        <w:t xml:space="preserve">Raw data were processed using the Progenesis QI (Nonlinear Dynamics, Waters Corporation) software package. This software package generates and aligns chromatographic peaks, then infers relative metabolite abundances between sample condition groups. QC samples generated from a pooled sample stock were run at </w:t>
      </w:r>
      <w:r>
        <w:rPr>
          <w:rFonts w:ascii="Avenir Book" w:hAnsi="Avenir Book"/>
          <w:lang w:val="en-US"/>
        </w:rPr>
        <w:lastRenderedPageBreak/>
        <w:t>regular intervals. Comparison of metabolite abundances from pooled samples interspersed across the entire experimental run were used to filter the raw data</w:t>
      </w:r>
      <w:r>
        <w:rPr>
          <w:rFonts w:ascii="Avenir Book" w:hAnsi="Avenir Book"/>
          <w:vertAlign w:val="superscript"/>
        </w:rPr>
        <w:t>20</w:t>
      </w:r>
      <w:r>
        <w:rPr>
          <w:rFonts w:ascii="Avenir Book" w:hAnsi="Avenir Book"/>
          <w:lang w:val="en-US"/>
        </w:rPr>
        <w:t xml:space="preserve">. Peaks of insufficient width to allow accurate quantitation were removed. Features displaying high variation (i.e., coefficient of variation score above 20%) across the pooled samples were removed. Features were retained if abundance estimates were at least 5-fold higher in QC samples above blank samples. This software also attempts to identify metabolites. Accurate mass and retention time comparisons to an in-house generated small molecule database and the Metlin </w:t>
      </w:r>
      <w:r>
        <w:rPr>
          <w:rFonts w:ascii="Avenir Book" w:hAnsi="Avenir Book"/>
          <w:lang w:val="en-US"/>
        </w:rPr>
        <w:fldChar w:fldCharType="begin"/>
      </w:r>
      <w:r>
        <w:rPr>
          <w:rFonts w:ascii="Avenir Book" w:hAnsi="Avenir Book"/>
          <w:lang w:val="en-US"/>
        </w:rPr>
        <w:instrText xml:space="preserve"> ADDIN ZOTERO_ITEM CSL_CITATION {"citationID":"PvKEa31z","properties":{"formattedCitation":"(25)","plainCitation":"(25)","noteIndex":0},"citationItems":[{"id":219,"uris":["http://zotero.org/users/local/zzNOJd2p/items/J85TZ2M4"],"uri":["http://zotero.org/users/local/zzNOJd2p/items/J85TZ2M4"],"itemData":{"id":219,"type":"article-journal","abstract":"Endogenous metabolites have gained increasing interest over the past 5 years largely for their implications in diagnostic and pharmaceutical biomarker discovery. METLIN (http://metlin.scripps.edu), a freely accessible web-based data repository, has been developed to assist in a broad array of metabolite research and to facilitate metabolite identification through mass analysis. METLINincludes an annotated list of known metabolite structural information that is easily cross-correlated with its catalogue of high-resolution Fourier transform mass spectrometry (FTMS) spectra, tandem mass spectrometry (MS/MS) spectra, and LC/MS data.","container-title":"Therapeutic Drug Monitoring","DOI":"10.1097/01.ftd.0000179845.53213.39","ISSN":"0163-4356","issue":"6","journalAbbreviation":"Ther Drug Monit","language":"eng","note":"PMID: 16404815","page":"747-751","source":"PubMed","title":"METLIN: a metabolite mass spectral database","title-short":"METLIN","volume":"27","author":[{"family":"Smith","given":"Colin A."},{"family":"O'Maille","given":"Grace"},{"family":"Want","given":"Elizabeth J."},{"family":"Qin","given":"Chuan"},{"family":"Trauger","given":"Sunia A."},{"family":"Brandon","given":"Theodore R."},{"family":"Custodio","given":"Darlene E."},{"family":"Abagyan","given":"Ruben"},{"family":"Siuzdak","given":"Gary"}],"issued":{"date-parts":[["2005",12]]}}}],"schema":"https://github.com/citation-style-language/schema/raw/master/csl-citation.json"} </w:instrText>
      </w:r>
      <w:r>
        <w:rPr>
          <w:rFonts w:ascii="Avenir Book" w:hAnsi="Avenir Book"/>
          <w:lang w:val="en-US"/>
        </w:rPr>
        <w:fldChar w:fldCharType="separate"/>
      </w:r>
      <w:r>
        <w:rPr>
          <w:rFonts w:ascii="Avenir Book" w:hAnsi="Avenir Book"/>
          <w:noProof/>
          <w:lang w:val="en-US"/>
        </w:rPr>
        <w:t>(25)</w:t>
      </w:r>
      <w:r>
        <w:rPr>
          <w:rFonts w:ascii="Avenir Book" w:hAnsi="Avenir Book"/>
          <w:lang w:val="en-US"/>
        </w:rPr>
        <w:fldChar w:fldCharType="end"/>
      </w:r>
      <w:r>
        <w:rPr>
          <w:rFonts w:ascii="Avenir Book" w:hAnsi="Avenir Book"/>
          <w:lang w:val="en-US"/>
        </w:rPr>
        <w:t xml:space="preserve"> small molecule MS/MS database (</w:t>
      </w:r>
      <w:r>
        <w:rPr>
          <w:rFonts w:ascii="Avenir Book" w:hAnsi="Avenir Book"/>
          <w:color w:val="222222"/>
          <w:u w:color="222222"/>
          <w:shd w:val="clear" w:color="auto" w:fill="FFFFFF"/>
          <w:lang w:val="en-US"/>
        </w:rPr>
        <w:t>Scripps Research Institute, La Jolla, California</w:t>
      </w:r>
      <w:r>
        <w:rPr>
          <w:rFonts w:ascii="Avenir Book" w:hAnsi="Avenir Book"/>
          <w:lang w:val="en-US"/>
        </w:rPr>
        <w:t>) were used to assign identifications to compounds presenting unique mz/retention time. Briefly, a precursor match within 10 ppm mass accuracy, a retention time within 0.1 min of our in-house library, and a MS/MS forward search dot-product score of at least 700. Agreement of these three pieces of evidence lead to a high confident identification match in the absence of internal standards. In addition, isotope distribution information and MS/MS fragmentation spectral comparisons were employed for metabolite identification.</w:t>
      </w:r>
    </w:p>
    <w:p w14:paraId="776198C6" w14:textId="77777777" w:rsidR="00204E0E" w:rsidRDefault="00204E0E" w:rsidP="00204E0E">
      <w:pPr>
        <w:pStyle w:val="Body"/>
        <w:spacing w:line="480" w:lineRule="auto"/>
        <w:jc w:val="both"/>
        <w:rPr>
          <w:rFonts w:ascii="Avenir Book" w:eastAsia="Avenir Book" w:hAnsi="Avenir Book" w:cs="Avenir Book"/>
        </w:rPr>
      </w:pPr>
    </w:p>
    <w:p w14:paraId="762ECABA" w14:textId="77777777" w:rsidR="00204E0E" w:rsidRDefault="00204E0E" w:rsidP="00204E0E">
      <w:pPr>
        <w:pStyle w:val="Body"/>
        <w:spacing w:line="480" w:lineRule="auto"/>
        <w:rPr>
          <w:rFonts w:ascii="Avenir Heavy" w:eastAsia="Avenir Heavy" w:hAnsi="Avenir Heavy" w:cs="Avenir Heavy"/>
        </w:rPr>
      </w:pPr>
      <w:r>
        <w:rPr>
          <w:rFonts w:ascii="Avenir Heavy" w:hAnsi="Avenir Heavy"/>
          <w:lang w:val="en-US"/>
        </w:rPr>
        <w:t xml:space="preserve">Proteomic Data Collection: </w:t>
      </w:r>
    </w:p>
    <w:p w14:paraId="7C2449DD" w14:textId="77777777" w:rsidR="00204E0E" w:rsidRDefault="00204E0E" w:rsidP="00204E0E">
      <w:pPr>
        <w:pStyle w:val="Body"/>
        <w:spacing w:line="480" w:lineRule="auto"/>
        <w:rPr>
          <w:rFonts w:ascii="Avenir Book" w:eastAsia="Avenir Book" w:hAnsi="Avenir Book" w:cs="Avenir Book"/>
          <w:shd w:val="clear" w:color="auto" w:fill="FFFFFF"/>
        </w:rPr>
      </w:pPr>
      <w:r>
        <w:rPr>
          <w:rFonts w:ascii="Avenir Book" w:hAnsi="Avenir Book"/>
          <w:lang w:val="en-US"/>
        </w:rPr>
        <w:t xml:space="preserve">Samples were prepared as previously described </w:t>
      </w:r>
      <w:r>
        <w:rPr>
          <w:rFonts w:ascii="Avenir Book" w:hAnsi="Avenir Book"/>
          <w:lang w:val="en-US"/>
        </w:rPr>
        <w:fldChar w:fldCharType="begin"/>
      </w:r>
      <w:r>
        <w:rPr>
          <w:rFonts w:ascii="Avenir Book" w:hAnsi="Avenir Book"/>
          <w:lang w:val="en-US"/>
        </w:rPr>
        <w:instrText xml:space="preserve"> ADDIN ZOTERO_ITEM CSL_CITATION {"citationID":"XCfiHFvv","properties":{"formattedCitation":"(26,27)","plainCitation":"(26,27)","noteIndex":0},"citationItems":[{"id":88,"uris":["http://zotero.org/users/local/zzNOJd2p/items/QUCH9ADC"],"uri":["http://zotero.org/users/local/zzNOJd2p/items/QUCH9ADC"],"itemData":{"id":88,"type":"article-journal","abstract":"Chronic obstructive pulmonary disease (COPD) is a known risk factor for developing lung cancer but the underlying mechanisms remain unknown. We hypothesise that the COPD stroma contains molecular mechanisms supporting tumourigenesis.We conducted an unbiased multi-omic analysis to identify gene expression patterns that distinguish COPD stroma in patients with or without lung cancer. We obtained lung tissue from patients with COPD and lung cancer (tumour and adjacent non-malignant tissue) and those with COPD without lung cancer for profiling of proteomic and mRNA (both cytoplasmic and polyribosomal). We used the Joint and Individual Variation Explained (JIVE) method to integrate and analyse across the three datasets.JIVE identified eight latent patterns that robustly distinguished and separated the three groups of tissue samples (tumour, adjacent and control). Predictive variables that associated with the tumour, compared to adjacent stroma, were mainly represented in the transcriptomic data, whereas predictive variables associated with adjacent tissue, compared to controls, were represented at the translatomic level. Pathway analysis revealed extracellular matrix and phosphatidylinositol-4,5-bisphosphate 3-kinase-protein kinase B signalling pathways as important signals in the tumour adjacent stroma.The multi-omic approach distinguishes tumour adjacent stroma in lung cancer and reveals two stromal expression patterns associated with cancer.","container-title":"The European Respiratory Journal","DOI":"10.1183/13993003.02665-2017","ISSN":"1399-3003","issue":"1","journalAbbreviation":"Eur. Respir. J.","language":"eng","note":"PMID: 29794131\nPMCID: PMC6618293","source":"PubMed","title":"Multi-omic molecular profiling of lung cancer in COPD","volume":"52","author":[{"family":"Sandri","given":"Brian J."},{"family":"Kaplan","given":"Adam"},{"family":"Hodgson","given":"Shane W."},{"family":"Peterson","given":"Mark"},{"family":"Avdulov","given":"Svetlana"},{"family":"Higgins","given":"LeeAnn"},{"family":"Markowski","given":"Todd"},{"family":"Yang","given":"Ping"},{"family":"Limper","given":"Andrew H."},{"family":"Griffin","given":"Timothy J."},{"family":"Bitterman","given":"Peter"},{"family":"Lock","given":"Eric F."},{"family":"Wendt","given":"Chris H."}],"issued":{"date-parts":[["2018"]]}}},{"id":80,"uris":["http://zotero.org/users/local/zzNOJd2p/items/FQ9RAN6H"],"uri":["http://zotero.org/users/local/zzNOJd2p/items/FQ9RAN6H"],"itemData":{"id":80,"type":"article-journal","abstract":"Rationale: Chronic obstructive pulmonary disease is an independent risk factor for lung cancer, but the underlying molecular mechanisms are unknown. We hypothesized that lung stromal cells activate pathological gene expression programs that support oncogenesis.Objectives: To identify molecular mechanisms operating in the lung stroma that support the development of lung cancer.Methods: The study included subjects with and without lung cancer across a spectrum of lung-function values. We conducted a multiomics analysis of nonmalignant lung tissue to quantify the transcriptome, translatome, and proteome.Measurements and Main Results: Cancer-associated gene expression changes predominantly manifested as alterations in the efficiency of mRNA translation modulating protein levels in the absence of corresponding changes in mRNA levels. The molecular mechanisms that drove these cancer-associated translation programs differed based on lung function. In subjects with normal to mildly impaired lung function, the mammalian target of rapamycin (mTOR) pathway served as an upstream driver, whereas in subjects with severe airflow obstruction, pathways downstream of pathological extracellular matrix emerged. Consistent with a role during cancer initiation, both the mTOR and extracellular matrix gene expression programs paralleled the activation of previously identified procancer secretomes. Furthermore, an in situ examination of lung tissue showed that stromal fibroblasts expressed cancer-associated proteins from two procancer secretomes: one that included IL-6 (in cases of mild or no airflow obstruction), and one that included BMP1 (in cases of severe airflow obstruction).Conclusions: Two distinct stromal gene expression programs that promote cancer initiation are activated in patients with lung cancer depending on lung function. Our work has implications both for screening strategies and for personalized approaches to cancer treatment.","container-title":"American Journal of Respiratory and Critical Care Medicine","DOI":"10.1164/rccm.201801-0080OC","ISSN":"1535-4970","issue":"3","journalAbbreviation":"Am. J. Respir. Crit. Care Med.","language":"eng","note":"PMID: 30742544","page":"348-358","source":"PubMed","title":"Distinct Cancer-Promoting Stromal Gene Expression Depending on Lung Function","volume":"200","author":[{"family":"Sandri","given":"Brian J."},{"family":"Masvidal","given":"Laia"},{"family":"Murie","given":"Carl"},{"family":"Bartish","given":"Margarita"},{"family":"Avdulov","given":"Svetlana"},{"family":"Higgins","given":"LeeAnn"},{"family":"Markowski","given":"Todd"},{"family":"Peterson","given":"Mark"},{"family":"Bergh","given":"Jonas"},{"family":"Yang","given":"Ping"},{"family":"Rolny","given":"Charlotte"},{"family":"Limper","given":"Andrew H."},{"family":"Griffin","given":"Timothy J."},{"family":"Bitterman","given":"Peter B."},{"family":"Wendt","given":"Chris H."},{"family":"Larsson","given":"Ola"}],"issued":{"date-parts":[["2019",8,1]]}}}],"schema":"https://github.com/citation-style-language/schema/raw/master/csl-citation.json"} </w:instrText>
      </w:r>
      <w:r>
        <w:rPr>
          <w:rFonts w:ascii="Avenir Book" w:hAnsi="Avenir Book"/>
          <w:lang w:val="en-US"/>
        </w:rPr>
        <w:fldChar w:fldCharType="separate"/>
      </w:r>
      <w:r>
        <w:rPr>
          <w:rFonts w:ascii="Avenir Book" w:hAnsi="Avenir Book"/>
          <w:noProof/>
          <w:lang w:val="en-US"/>
        </w:rPr>
        <w:t>(26,27)</w:t>
      </w:r>
      <w:r>
        <w:rPr>
          <w:rFonts w:ascii="Avenir Book" w:hAnsi="Avenir Book"/>
          <w:lang w:val="en-US"/>
        </w:rPr>
        <w:fldChar w:fldCharType="end"/>
      </w:r>
      <w:r>
        <w:rPr>
          <w:rFonts w:ascii="Avenir Book" w:hAnsi="Avenir Book"/>
        </w:rPr>
        <w:t xml:space="preserve">. </w:t>
      </w:r>
      <w:r>
        <w:rPr>
          <w:rFonts w:ascii="Avenir Book" w:hAnsi="Avenir Book"/>
          <w:shd w:val="clear" w:color="auto" w:fill="FFFFFF"/>
          <w:lang w:val="en-US"/>
        </w:rPr>
        <w:t>The Tandem Mass Tag™ isobaric labeled sample was resuspended in Buffer A (20 mM ammonium</w:t>
      </w:r>
      <w:r>
        <w:rPr>
          <w:rFonts w:ascii="Avenir Heavy" w:hAnsi="Avenir Heavy"/>
        </w:rPr>
        <w:t xml:space="preserve"> </w:t>
      </w:r>
      <w:r>
        <w:rPr>
          <w:rFonts w:ascii="Avenir Book" w:hAnsi="Avenir Book"/>
          <w:shd w:val="clear" w:color="auto" w:fill="FFFFFF"/>
          <w:lang w:val="en-US"/>
        </w:rPr>
        <w:t xml:space="preserve">formate pH </w:t>
      </w:r>
      <w:r>
        <w:rPr>
          <w:rFonts w:ascii="Avenir Book" w:hAnsi="Avenir Book"/>
          <w:shd w:val="clear" w:color="auto" w:fill="FFFFFF"/>
          <w:lang w:val="en-US"/>
        </w:rPr>
        <w:lastRenderedPageBreak/>
        <w:t xml:space="preserve">10 in 98:2 </w:t>
      </w:r>
      <w:proofErr w:type="spellStart"/>
      <w:r>
        <w:rPr>
          <w:rFonts w:ascii="Avenir Book" w:hAnsi="Avenir Book"/>
          <w:shd w:val="clear" w:color="auto" w:fill="FFFFFF"/>
          <w:lang w:val="en-US"/>
        </w:rPr>
        <w:t>water:acetonitrile</w:t>
      </w:r>
      <w:proofErr w:type="spellEnd"/>
      <w:r>
        <w:rPr>
          <w:rFonts w:ascii="Avenir Book" w:hAnsi="Avenir Book"/>
          <w:shd w:val="clear" w:color="auto" w:fill="FFFFFF"/>
          <w:lang w:val="en-US"/>
        </w:rPr>
        <w:t>) and fractionated offline by high pH C18 reversed-phase (RP) chromatography as previously described</w:t>
      </w:r>
      <w:r>
        <w:rPr>
          <w:rFonts w:ascii="Avenir Book" w:hAnsi="Avenir Book"/>
          <w:vertAlign w:val="superscript"/>
        </w:rPr>
        <w:t xml:space="preserve"> </w:t>
      </w:r>
      <w:r>
        <w:rPr>
          <w:rFonts w:ascii="Avenir Book" w:hAnsi="Avenir Book"/>
          <w:vertAlign w:val="superscript"/>
        </w:rPr>
        <w:fldChar w:fldCharType="begin"/>
      </w:r>
      <w:r>
        <w:rPr>
          <w:rFonts w:ascii="Avenir Book" w:hAnsi="Avenir Book"/>
          <w:vertAlign w:val="superscript"/>
        </w:rPr>
        <w:instrText xml:space="preserve"> ADDIN ZOTERO_ITEM CSL_CITATION {"citationID":"yzwqibZN","properties":{"formattedCitation":"(28)","plainCitation":"(28)","noteIndex":0},"citationItems":[{"id":173,"uris":["http://zotero.org/users/local/zzNOJd2p/items/HF6ZA8ZA"],"uri":["http://zotero.org/users/local/zzNOJd2p/items/HF6ZA8ZA"],"itemData":{"id":173,"type":"article-journal","abstract":"Orthogonal high-resolution separations are critical for attaining improved analytical dynamic range and protein coverage in proteomic measurements. High-pH reversed-phase liquid chromatography (RPLC), followed by fraction concatenation, affords better peptide analysis than conventional strong cation-exchange chromatography applied for 2D proteomic analysis. For example, concatenated high-pH RPLC increased identification of peptides (by 1.8-fold) and proteins (by 1.6-fold) in shotgun proteomics analyses of a digested human protein sample. Additional advantages of high-pH RPLC with fraction concatenation include improved protein sequence coverage, simplified sample processing and reduced sample losses, making this an attractive alternative to strong cation-exchange chromatography in conjunction with second-dimension low-pH RPLC for 2D proteomics analyses.","container-title":"Expert Review of Proteomics","DOI":"10.1586/epr.12.15","ISSN":"1744-8387","issue":"2","journalAbbreviation":"Expert Rev Proteomics","language":"eng","note":"PMID: 22462785\nPMCID: PMC3337716","page":"129-134","source":"PubMed","title":"High-pH reversed-phase chromatography with fraction concatenation for 2D proteomic analysis","volume":"9","author":[{"family":"Yang","given":"Feng"},{"family":"Shen","given":"Yufeng"},{"family":"Camp","given":"David G."},{"family":"Smith","given":"Richard D."}],"issued":{"date-parts":[["2012",4]]}}}],"schema":"https://github.com/citation-style-language/schema/raw/master/csl-citation.json"} </w:instrText>
      </w:r>
      <w:r>
        <w:rPr>
          <w:rFonts w:ascii="Avenir Book" w:hAnsi="Avenir Book"/>
          <w:vertAlign w:val="superscript"/>
        </w:rPr>
        <w:fldChar w:fldCharType="separate"/>
      </w:r>
      <w:r>
        <w:rPr>
          <w:rFonts w:ascii="Avenir Book" w:hAnsi="Avenir Book"/>
          <w:noProof/>
        </w:rPr>
        <w:t>(28)</w:t>
      </w:r>
      <w:r>
        <w:rPr>
          <w:rFonts w:ascii="Avenir Book" w:hAnsi="Avenir Book"/>
          <w:vertAlign w:val="superscript"/>
        </w:rPr>
        <w:fldChar w:fldCharType="end"/>
      </w:r>
      <w:r>
        <w:rPr>
          <w:rFonts w:ascii="Avenir Book" w:hAnsi="Avenir Book"/>
          <w:shd w:val="clear" w:color="auto" w:fill="FFFFFF"/>
          <w:lang w:val="en-US"/>
        </w:rPr>
        <w:t xml:space="preserve"> with the following changes. A Shimadzu Prominence HPLC (Shimadzu, Columbia, MD) with a Hot Sleeve-25L Column Heater (Analytical Sales &amp; Products, Inc., Pompton Plains, NJ) was used with a Security Guard precolumn housing a Gemini NX C18 cartridge (Phenomemex, Torrance, CA) attached to a C18 XBridge column, 150 mm x 2.1 mm internal diameter, 5 µm particle size (Waters Corporation, Milford, MA). Buffer A was 20 mM ammonium formate, pH 10 in 98:2 </w:t>
      </w:r>
      <w:proofErr w:type="spellStart"/>
      <w:proofErr w:type="gramStart"/>
      <w:r>
        <w:rPr>
          <w:rFonts w:ascii="Avenir Book" w:hAnsi="Avenir Book"/>
          <w:shd w:val="clear" w:color="auto" w:fill="FFFFFF"/>
          <w:lang w:val="en-US"/>
        </w:rPr>
        <w:t>water:acetonitrile</w:t>
      </w:r>
      <w:proofErr w:type="spellEnd"/>
      <w:proofErr w:type="gramEnd"/>
      <w:r>
        <w:rPr>
          <w:rFonts w:ascii="Avenir Book" w:hAnsi="Avenir Book"/>
          <w:shd w:val="clear" w:color="auto" w:fill="FFFFFF"/>
          <w:lang w:val="en-US"/>
        </w:rPr>
        <w:t xml:space="preserve"> and Buffer B was 20 mM ammonium formate, pH 10 in 10:90 </w:t>
      </w:r>
      <w:proofErr w:type="spellStart"/>
      <w:r>
        <w:rPr>
          <w:rFonts w:ascii="Avenir Book" w:hAnsi="Avenir Book"/>
          <w:shd w:val="clear" w:color="auto" w:fill="FFFFFF"/>
          <w:lang w:val="en-US"/>
        </w:rPr>
        <w:t>water:acetonitrile</w:t>
      </w:r>
      <w:proofErr w:type="spellEnd"/>
      <w:r>
        <w:rPr>
          <w:rFonts w:ascii="Avenir Book" w:hAnsi="Avenir Book"/>
          <w:shd w:val="clear" w:color="auto" w:fill="FFFFFF"/>
          <w:lang w:val="en-US"/>
        </w:rPr>
        <w:t xml:space="preserve">. The flow rate was 200 µl/min with a gradient from 2-7% buffer B over 0.5 min, 7-15% buffer B over 7.5 min, 15-35% buffer B over 45 min, and 35-60% buffer B over 15 min. Fractions were collected every 2 min and UV absorbances were monitored at 215 nm and 280 nm. Peptide containing fractions were divided into two equal numbered groups, “early” and “late”. A volume equal to 15 milli-absorbance unit of the first “early” fraction was concatenated with the first “late” fraction, and so on. Concatenated samples were dried </w:t>
      </w:r>
      <w:r>
        <w:rPr>
          <w:rFonts w:ascii="AVENIR BOOK OBLIQUE" w:hAnsi="AVENIR BOOK OBLIQUE"/>
          <w:shd w:val="clear" w:color="auto" w:fill="FFFFFF"/>
          <w:lang w:val="it-IT"/>
        </w:rPr>
        <w:t>in vacuo</w:t>
      </w:r>
      <w:r>
        <w:rPr>
          <w:rFonts w:ascii="Avenir Book" w:hAnsi="Avenir Book"/>
          <w:shd w:val="clear" w:color="auto" w:fill="FFFFFF"/>
          <w:lang w:val="en-US"/>
        </w:rPr>
        <w:t xml:space="preserve">, resuspended in load solvent (98:2:0.01, </w:t>
      </w:r>
      <w:proofErr w:type="spellStart"/>
      <w:proofErr w:type="gramStart"/>
      <w:r>
        <w:rPr>
          <w:rFonts w:ascii="Avenir Book" w:hAnsi="Avenir Book"/>
          <w:shd w:val="clear" w:color="auto" w:fill="FFFFFF"/>
          <w:lang w:val="en-US"/>
        </w:rPr>
        <w:t>water:acetonitrile</w:t>
      </w:r>
      <w:proofErr w:type="gramEnd"/>
      <w:r>
        <w:rPr>
          <w:rFonts w:ascii="Avenir Book" w:hAnsi="Avenir Book"/>
          <w:shd w:val="clear" w:color="auto" w:fill="FFFFFF"/>
          <w:lang w:val="en-US"/>
        </w:rPr>
        <w:t>:formic</w:t>
      </w:r>
      <w:proofErr w:type="spellEnd"/>
      <w:r>
        <w:rPr>
          <w:rFonts w:ascii="Avenir Book" w:hAnsi="Avenir Book"/>
          <w:shd w:val="clear" w:color="auto" w:fill="FFFFFF"/>
          <w:lang w:val="en-US"/>
        </w:rPr>
        <w:t xml:space="preserve"> acid) and run on the Thermo Fusion. </w:t>
      </w:r>
      <w:r>
        <w:rPr>
          <w:rFonts w:ascii="Avenir Book" w:hAnsi="Avenir Book"/>
          <w:lang w:val="en-US"/>
        </w:rPr>
        <w:t>LC-MS data was acquired for each concatenated fraction using an Easy-</w:t>
      </w:r>
      <w:proofErr w:type="spellStart"/>
      <w:r>
        <w:rPr>
          <w:rFonts w:ascii="Avenir Book" w:hAnsi="Avenir Book"/>
          <w:lang w:val="en-US"/>
        </w:rPr>
        <w:t>nLC</w:t>
      </w:r>
      <w:proofErr w:type="spellEnd"/>
      <w:r>
        <w:rPr>
          <w:rFonts w:ascii="Avenir Book" w:hAnsi="Avenir Book"/>
          <w:lang w:val="en-US"/>
        </w:rPr>
        <w:t xml:space="preserve"> 1000 HPLC (Thermo Scientific Inc., Waltham, MA) in tandem with a Thermo Fisher Orbitrap Fusion (Thermo Scientific Inc., Waltham, MA). Peptides were loaded directly onto a 75 cm x 100-µm </w:t>
      </w:r>
      <w:r>
        <w:rPr>
          <w:rFonts w:ascii="Avenir Book" w:hAnsi="Avenir Book"/>
          <w:lang w:val="en-US"/>
        </w:rPr>
        <w:lastRenderedPageBreak/>
        <w:t xml:space="preserve">internal diameter fused silica </w:t>
      </w:r>
      <w:proofErr w:type="spellStart"/>
      <w:r>
        <w:rPr>
          <w:rFonts w:ascii="Avenir Book" w:hAnsi="Avenir Book"/>
          <w:lang w:val="en-US"/>
        </w:rPr>
        <w:t>PicoTip</w:t>
      </w:r>
      <w:proofErr w:type="spellEnd"/>
      <w:r>
        <w:rPr>
          <w:rFonts w:ascii="Avenir Book" w:hAnsi="Avenir Book"/>
          <w:lang w:val="en-US"/>
        </w:rPr>
        <w:t xml:space="preserve"> Emitter (New Objective, Woburn, MA) packed in-house with </w:t>
      </w:r>
      <w:proofErr w:type="spellStart"/>
      <w:r>
        <w:rPr>
          <w:rFonts w:ascii="Avenir Book" w:hAnsi="Avenir Book"/>
          <w:lang w:val="en-US"/>
        </w:rPr>
        <w:t>ReproSil-Pur</w:t>
      </w:r>
      <w:proofErr w:type="spellEnd"/>
      <w:r>
        <w:rPr>
          <w:rFonts w:ascii="Avenir Book" w:hAnsi="Avenir Book"/>
          <w:lang w:val="en-US"/>
        </w:rPr>
        <w:t xml:space="preserve"> C18-AQ (1.9 µm particle, 120 Å </w:t>
      </w:r>
      <w:proofErr w:type="spellStart"/>
      <w:r>
        <w:rPr>
          <w:rFonts w:ascii="Avenir Book" w:hAnsi="Avenir Book"/>
        </w:rPr>
        <w:t>pore</w:t>
      </w:r>
      <w:proofErr w:type="spellEnd"/>
      <w:r>
        <w:rPr>
          <w:rFonts w:ascii="Avenir Book" w:hAnsi="Avenir Book"/>
        </w:rPr>
        <w:t xml:space="preserve">; Dr. </w:t>
      </w:r>
      <w:proofErr w:type="spellStart"/>
      <w:r>
        <w:rPr>
          <w:rFonts w:ascii="Avenir Book" w:hAnsi="Avenir Book"/>
        </w:rPr>
        <w:t>Maish</w:t>
      </w:r>
      <w:proofErr w:type="spellEnd"/>
      <w:r>
        <w:rPr>
          <w:rFonts w:ascii="Avenir Book" w:hAnsi="Avenir Book"/>
        </w:rPr>
        <w:t xml:space="preserve"> GmbH </w:t>
      </w:r>
      <w:proofErr w:type="spellStart"/>
      <w:r>
        <w:rPr>
          <w:rFonts w:ascii="Avenir Book" w:hAnsi="Avenir Book"/>
        </w:rPr>
        <w:t>Ammerbuch</w:t>
      </w:r>
      <w:proofErr w:type="spellEnd"/>
      <w:r>
        <w:rPr>
          <w:rFonts w:ascii="Avenir Book" w:hAnsi="Avenir Book"/>
        </w:rPr>
        <w:t xml:space="preserve">, Germany). The column was heated to 55 </w:t>
      </w:r>
      <w:r>
        <w:rPr>
          <w:rFonts w:ascii="Avenir Book" w:hAnsi="Avenir Book"/>
          <w:lang w:val="en-US"/>
        </w:rPr>
        <w:t>°C and a flow rate of 300 µL/minute was applied during the gradient. The gradient was as follows: 5-22% Buffer B (A: 0.1% formic acid in water, B: 0.1% formic acid in acetonitrile) for 45 min, 22-35% B for 25 min, and 35-95% B over 10 min. The column was mounted in a nanospray source directly in line with an Orbitrap Fusion mass spectrometer (Thermo Scientific). Spray voltage was 2.1 kV in positive mode, and the heated capillary was maintained at 275 °C. The orbital trap was set to acquire survey mass spectra (380–1580 m/z) with a resolution of 60,000 at 100 m/z with automatic gain control (AGC) 1.0E6, 250-ms min injection. EASY-IC was selected for internal mass calibration. The 12 most intense ions (2-7 charged state) from the full scan were selected for fragmentation by higher-energy collisional dissociation with normalized collision energy 35%, and detector settings of 60k resolution, AGC 5E4 ions, 250 ms maximum injection time and FT first mass mode fixed at 110 m/z. Dynamic exclusion was set to 40s with a 10-ppm high and low mass tolerance.</w:t>
      </w:r>
    </w:p>
    <w:p w14:paraId="3164C907" w14:textId="77777777" w:rsidR="003E1F2A" w:rsidRDefault="003E1F2A"/>
    <w:sectPr w:rsidR="003E1F2A" w:rsidSect="00D73DA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DB7C" w14:textId="77777777" w:rsidR="003E615D" w:rsidRDefault="003E615D" w:rsidP="00CF7B77">
      <w:r>
        <w:separator/>
      </w:r>
    </w:p>
  </w:endnote>
  <w:endnote w:type="continuationSeparator" w:id="0">
    <w:p w14:paraId="3572C26E" w14:textId="77777777" w:rsidR="003E615D" w:rsidRDefault="003E615D" w:rsidP="00CF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Heavy">
    <w:altName w:val="Avenir Heavy"/>
    <w:panose1 w:val="020B0703020203020204"/>
    <w:charset w:val="4D"/>
    <w:family w:val="swiss"/>
    <w:pitch w:val="variable"/>
    <w:sig w:usb0="800000AF" w:usb1="5000204A" w:usb2="00000000" w:usb3="00000000" w:csb0="0000009B" w:csb1="00000000"/>
  </w:font>
  <w:font w:name="Avenir Book">
    <w:altName w:val="Avenir Book"/>
    <w:panose1 w:val="02000503020000020003"/>
    <w:charset w:val="00"/>
    <w:family w:val="auto"/>
    <w:pitch w:val="variable"/>
    <w:sig w:usb0="800000AF" w:usb1="5000204A" w:usb2="00000000" w:usb3="00000000" w:csb0="0000009B" w:csb1="00000000"/>
  </w:font>
  <w:font w:name="Tw Cen MT">
    <w:panose1 w:val="020B0602020104020603"/>
    <w:charset w:val="4D"/>
    <w:family w:val="swiss"/>
    <w:pitch w:val="variable"/>
    <w:sig w:usb0="00000003" w:usb1="00000000" w:usb2="00000000" w:usb3="00000000" w:csb0="00000003" w:csb1="00000000"/>
  </w:font>
  <w:font w:name="AVENIR BOOK OBLIQUE">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6B47" w14:textId="77777777" w:rsidR="00CF7B77" w:rsidRDefault="00CF7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272F" w14:textId="77777777" w:rsidR="00CF7B77" w:rsidRDefault="00CF7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A40E" w14:textId="77777777" w:rsidR="00CF7B77" w:rsidRDefault="00CF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49D8" w14:textId="77777777" w:rsidR="003E615D" w:rsidRDefault="003E615D" w:rsidP="00CF7B77">
      <w:r>
        <w:separator/>
      </w:r>
    </w:p>
  </w:footnote>
  <w:footnote w:type="continuationSeparator" w:id="0">
    <w:p w14:paraId="18C05566" w14:textId="77777777" w:rsidR="003E615D" w:rsidRDefault="003E615D" w:rsidP="00CF7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42AA" w14:textId="77777777" w:rsidR="00CF7B77" w:rsidRDefault="00CF7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247E" w14:textId="77777777" w:rsidR="00CF7B77" w:rsidRPr="00277CAD" w:rsidRDefault="00CF7B77" w:rsidP="00CF7B77">
    <w:pPr>
      <w:rPr>
        <w:color w:val="000000" w:themeColor="text1"/>
      </w:rPr>
    </w:pPr>
    <w:r w:rsidRPr="00277CAD">
      <w:rPr>
        <w:color w:val="000000"/>
      </w:rPr>
      <w:t xml:space="preserve">Title: </w:t>
    </w:r>
    <w:r w:rsidRPr="00277CAD">
      <w:t>Multiomic Profiling of Iron Deficient Monkeys Reveals Alterations in Neurologically Important Biochemicals in Serum and CSF Prior to the Onset of Anemia</w:t>
    </w:r>
    <w:r w:rsidRPr="00277CAD">
      <w:rPr>
        <w:color w:val="000000"/>
      </w:rPr>
      <w:t>, “</w:t>
    </w:r>
    <w:r w:rsidRPr="00277CAD">
      <w:rPr>
        <w:color w:val="000000" w:themeColor="text1"/>
      </w:rPr>
      <w:t>Online Supplementary Material”</w:t>
    </w:r>
  </w:p>
  <w:p w14:paraId="31F3B05E" w14:textId="77777777" w:rsidR="00CF7B77" w:rsidRPr="00277CAD" w:rsidRDefault="00CF7B77" w:rsidP="00CF7B77">
    <w:pPr>
      <w:rPr>
        <w:color w:val="000000" w:themeColor="text1"/>
      </w:rPr>
    </w:pPr>
    <w:r w:rsidRPr="00277CAD">
      <w:rPr>
        <w:color w:val="000000" w:themeColor="text1"/>
      </w:rPr>
      <w:t>First Author: Brian J Sandri</w:t>
    </w:r>
  </w:p>
  <w:p w14:paraId="1DB3A17F" w14:textId="77777777" w:rsidR="00CF7B77" w:rsidRDefault="00CF7B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A46D" w14:textId="77777777" w:rsidR="00CF7B77" w:rsidRDefault="00CF7B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0E"/>
    <w:rsid w:val="00204E0E"/>
    <w:rsid w:val="003E1F2A"/>
    <w:rsid w:val="003E615D"/>
    <w:rsid w:val="008746AE"/>
    <w:rsid w:val="00CF7B77"/>
    <w:rsid w:val="00D7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EF718"/>
  <w15:chartTrackingRefBased/>
  <w15:docId w15:val="{859B2A42-FAD4-9B4A-AB08-768A31A3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4E0E"/>
    <w:pPr>
      <w:pBdr>
        <w:top w:val="nil"/>
        <w:left w:val="nil"/>
        <w:bottom w:val="nil"/>
        <w:right w:val="nil"/>
        <w:between w:val="nil"/>
        <w:bar w:val="nil"/>
      </w:pBdr>
    </w:pPr>
    <w:rPr>
      <w:rFonts w:ascii="Times New Roman" w:eastAsia="Arial Unicode MS" w:hAnsi="Times New Roman" w:cs="Arial Unicode MS"/>
      <w:color w:val="000000"/>
      <w:u w:color="000000"/>
      <w:bdr w:val="nil"/>
      <w:lang w:val="de-DE"/>
      <w14:textOutline w14:w="0" w14:cap="flat" w14:cmpd="sng" w14:algn="ctr">
        <w14:noFill/>
        <w14:prstDash w14:val="solid"/>
        <w14:bevel/>
      </w14:textOutline>
    </w:rPr>
  </w:style>
  <w:style w:type="paragraph" w:styleId="Header">
    <w:name w:val="header"/>
    <w:basedOn w:val="Normal"/>
    <w:link w:val="HeaderChar"/>
    <w:uiPriority w:val="99"/>
    <w:unhideWhenUsed/>
    <w:rsid w:val="00CF7B77"/>
    <w:pPr>
      <w:tabs>
        <w:tab w:val="center" w:pos="4680"/>
        <w:tab w:val="right" w:pos="9360"/>
      </w:tabs>
    </w:pPr>
  </w:style>
  <w:style w:type="character" w:customStyle="1" w:styleId="HeaderChar">
    <w:name w:val="Header Char"/>
    <w:basedOn w:val="DefaultParagraphFont"/>
    <w:link w:val="Header"/>
    <w:uiPriority w:val="99"/>
    <w:rsid w:val="00CF7B77"/>
  </w:style>
  <w:style w:type="paragraph" w:styleId="Footer">
    <w:name w:val="footer"/>
    <w:basedOn w:val="Normal"/>
    <w:link w:val="FooterChar"/>
    <w:uiPriority w:val="99"/>
    <w:unhideWhenUsed/>
    <w:rsid w:val="00CF7B77"/>
    <w:pPr>
      <w:tabs>
        <w:tab w:val="center" w:pos="4680"/>
        <w:tab w:val="right" w:pos="9360"/>
      </w:tabs>
    </w:pPr>
  </w:style>
  <w:style w:type="character" w:customStyle="1" w:styleId="FooterChar">
    <w:name w:val="Footer Char"/>
    <w:basedOn w:val="DefaultParagraphFont"/>
    <w:link w:val="Footer"/>
    <w:uiPriority w:val="99"/>
    <w:rsid w:val="00CF7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Sandri</dc:creator>
  <cp:keywords/>
  <dc:description/>
  <cp:lastModifiedBy>Brian J Sandri</cp:lastModifiedBy>
  <cp:revision>3</cp:revision>
  <dcterms:created xsi:type="dcterms:W3CDTF">2021-07-29T19:44:00Z</dcterms:created>
  <dcterms:modified xsi:type="dcterms:W3CDTF">2021-07-30T16:41:00Z</dcterms:modified>
</cp:coreProperties>
</file>