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97D"/>
          <w:sz w:val="44"/>
        </w:rPr>
        <w:t>Individual Research Component Evaluation Report</w:t>
        <w:br/>
      </w:r>
      <w:r>
        <w:rPr>
          <w:rFonts w:ascii="Calibri" w:hAnsi="Calibri"/>
          <w:b/>
          <w:color w:val="595959"/>
          <w:sz w:val="28"/>
        </w:rPr>
        <w:t>DoS Detection via SDN Flow Analysis in IoMT Networks</w:t>
        <w:br/>
      </w:r>
      <w:r>
        <w:rPr>
          <w:rFonts w:ascii="Calibri" w:hAnsi="Calibri"/>
          <w:i/>
          <w:color w:val="808080"/>
          <w:sz w:val="20"/>
        </w:rPr>
        <w:t>Project ID: J26-CS-330  |  Student ID: IT23326354  |  October 2026</w:t>
        <w:br/>
        <w:t>Overall Group Title: Lightweight SDN Intrusion Detection and Zero-Touch Mitigation System for IoMT Networks</w:t>
        <w:br/>
      </w:r>
    </w:p>
    <w:p/>
    <w:p>
      <w:pPr>
        <w:pStyle w:val="Heading1"/>
      </w:pPr>
      <w:r>
        <w:rPr>
          <w:color w:val="1F497D"/>
        </w:rPr>
        <w:t>Executive Summary</w:t>
      </w:r>
    </w:p>
    <w:p>
      <w:r>
        <w:t>This report presents the implementation and empirical evaluation of an intelligent, lightweight Denial of Service (DoS) detection engine tailored for Software-Defined Internet of Medical Things (IoMT) networks. Operating strictly at the SDN control plane, the system inspects OpenFlow 1.3 flow metadata (durations, packet/byte counts, packet rates, and protocol flags) without inspecting packet payloads, ensuring absolute compliance with healthcare privacy regulations (HIPAA/GDPR) and minimal computational overhead.</w:t>
      </w:r>
    </w:p>
    <w:p>
      <w:r>
        <w:t>Using the contemporary CICIoMT2024 benchmark dataset, a comprehensive feature bridge was engineered to map 45 flow-level features into OpenFlow-compatible inputs. An optimized XGBoost (Extreme Gradient Boosting) classifier was developed and empirically benchmarked against a Decision Tree, an ensemble Random Forest, and a static threshold-based baseline. The trained model is served via a production-grade FastAPI REST microservice designed for zero-touch mitigation integration.</w:t>
      </w:r>
    </w:p>
    <w:p>
      <w:pPr>
        <w:pStyle w:val="Heading2"/>
      </w:pPr>
      <w:r>
        <w:t>Research Proposal Performance Targets vs Measured Results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Evaluation Metric</w:t>
            </w:r>
          </w:p>
        </w:tc>
        <w:tc>
          <w:tcPr>
            <w:tcW w:type="dxa" w:w="2016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Proposal Target</w:t>
            </w:r>
          </w:p>
        </w:tc>
        <w:tc>
          <w:tcPr>
            <w:tcW w:type="dxa" w:w="2016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Actual Measured Result</w:t>
            </w:r>
          </w:p>
        </w:tc>
        <w:tc>
          <w:tcPr>
            <w:tcW w:type="dxa" w:w="216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Target Status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Classification Accuracy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&gt; 95.00%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99.72%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ACHIEVED (+4.72%)</w:t>
            </w:r>
          </w:p>
        </w:tc>
      </w:tr>
      <w:tr>
        <w:tc>
          <w:tcPr>
            <w:tcW w:type="dxa" w:w="3168"/>
            <w:shd w:val="clear" w:color="auto" w:fill="F2F5F8"/>
          </w:tcPr>
          <w:p>
            <w:r>
              <w:rPr>
                <w:rFonts w:ascii="Calibri" w:hAnsi="Calibri"/>
                <w:sz w:val="18"/>
              </w:rPr>
              <w:t>F1-Score</w:t>
            </w:r>
          </w:p>
        </w:tc>
        <w:tc>
          <w:tcPr>
            <w:tcW w:type="dxa" w:w="2016"/>
            <w:shd w:val="clear" w:color="auto" w:fill="F2F5F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&gt; 95.00%</w:t>
            </w:r>
          </w:p>
        </w:tc>
        <w:tc>
          <w:tcPr>
            <w:tcW w:type="dxa" w:w="2016"/>
            <w:shd w:val="clear" w:color="auto" w:fill="F2F5F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99.86%</w:t>
            </w:r>
          </w:p>
        </w:tc>
        <w:tc>
          <w:tcPr>
            <w:tcW w:type="dxa" w:w="2160"/>
            <w:shd w:val="clear" w:color="auto" w:fill="F2F5F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ACHIEVED (+4.86%)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Inference Latency (Median)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&lt; 50.00 ms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0.996 ms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ACHIEVED (50x Faster)</w:t>
            </w:r>
          </w:p>
        </w:tc>
      </w:tr>
      <w:tr>
        <w:tc>
          <w:tcPr>
            <w:tcW w:type="dxa" w:w="3168"/>
            <w:shd w:val="clear" w:color="auto" w:fill="F2F5F8"/>
          </w:tcPr>
          <w:p>
            <w:r>
              <w:rPr>
                <w:rFonts w:ascii="Calibri" w:hAnsi="Calibri"/>
                <w:sz w:val="18"/>
              </w:rPr>
              <w:t>Inference Latency (95th %ile)</w:t>
            </w:r>
          </w:p>
        </w:tc>
        <w:tc>
          <w:tcPr>
            <w:tcW w:type="dxa" w:w="2016"/>
            <w:shd w:val="clear" w:color="auto" w:fill="F2F5F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&lt; 50.00 ms</w:t>
            </w:r>
          </w:p>
        </w:tc>
        <w:tc>
          <w:tcPr>
            <w:tcW w:type="dxa" w:w="2016"/>
            <w:shd w:val="clear" w:color="auto" w:fill="F2F5F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2.994 ms</w:t>
            </w:r>
          </w:p>
        </w:tc>
        <w:tc>
          <w:tcPr>
            <w:tcW w:type="dxa" w:w="2160"/>
            <w:shd w:val="clear" w:color="auto" w:fill="F2F5F8"/>
          </w:tcPr>
          <w:p>
            <w:r>
              <w:rPr>
                <w:rFonts w:ascii="Calibri" w:hAnsi="Calibri"/>
                <w:sz w:val="18"/>
              </w:rPr>
              <w:t>ACHIEVED (16x Faster)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False Positive Rate (FPR)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Minimal (&lt; 2.0%)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0.73%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ACHIEVED (Minimal Alarm)</w:t>
            </w:r>
          </w:p>
        </w:tc>
      </w:tr>
      <w:tr>
        <w:tc>
          <w:tcPr>
            <w:tcW w:type="dxa" w:w="3168"/>
            <w:shd w:val="clear" w:color="auto" w:fill="F2F5F8"/>
          </w:tcPr>
          <w:p>
            <w:r>
              <w:rPr>
                <w:rFonts w:ascii="Calibri" w:hAnsi="Calibri"/>
                <w:sz w:val="18"/>
              </w:rPr>
              <w:t>Model Artifact Footprint</w:t>
            </w:r>
          </w:p>
        </w:tc>
        <w:tc>
          <w:tcPr>
            <w:tcW w:type="dxa" w:w="2016"/>
            <w:shd w:val="clear" w:color="auto" w:fill="F2F5F8"/>
          </w:tcPr>
          <w:p>
            <w:r>
              <w:rPr>
                <w:rFonts w:ascii="Calibri" w:hAnsi="Calibri"/>
                <w:sz w:val="18"/>
              </w:rPr>
              <w:t>Lightweight</w:t>
            </w:r>
          </w:p>
        </w:tc>
        <w:tc>
          <w:tcPr>
            <w:tcW w:type="dxa" w:w="2016"/>
            <w:shd w:val="clear" w:color="auto" w:fill="F2F5F8"/>
          </w:tcPr>
          <w:p>
            <w:r>
              <w:rPr>
                <w:rFonts w:ascii="Calibri" w:hAnsi="Calibri"/>
                <w:sz w:val="18"/>
              </w:rPr>
              <w:t>226 KB</w:t>
            </w:r>
          </w:p>
        </w:tc>
        <w:tc>
          <w:tcPr>
            <w:tcW w:type="dxa" w:w="2160"/>
            <w:shd w:val="clear" w:color="auto" w:fill="F2F5F8"/>
          </w:tcPr>
          <w:p>
            <w:r>
              <w:rPr>
                <w:rFonts w:ascii="Calibri" w:hAnsi="Calibri"/>
                <w:sz w:val="18"/>
              </w:rPr>
              <w:t>ACHIEVED</w:t>
            </w:r>
          </w:p>
        </w:tc>
      </w:tr>
    </w:tbl>
    <w:p/>
    <w:p>
      <w:pPr>
        <w:pStyle w:val="Heading1"/>
      </w:pPr>
      <w:r>
        <w:rPr>
          <w:color w:val="1F497D"/>
        </w:rPr>
        <w:t>1. Methodology &amp; Dataset Preprocessing</w:t>
      </w:r>
    </w:p>
    <w:p>
      <w:r>
        <w:t>The research utilized the official University of New Brunswick CICIoMT2024 dataset. A comprehensive scan across all 7,160,831 records revealed that benign telemetry comprised 192,732 records, with the remainder representing diverse DoS/DDoS variants (DDoS UDP, DDoS ICMP, DDoS TCP, DDoS SYN, DoS Connect Flood, MQTT Publish Floods, and Port Scans). Data preprocessing enforced:</w:t>
      </w:r>
    </w:p>
    <w:p>
      <w:pPr>
        <w:pStyle w:val="ListBullet"/>
      </w:pPr>
      <w:r>
        <w:t>• Deduplication: Eliminating identical flow duplicates to prevent optimistic test evaluation.</w:t>
      </w:r>
    </w:p>
    <w:p>
      <w:pPr>
        <w:pStyle w:val="ListBullet"/>
      </w:pPr>
      <w:r>
        <w:t>• Imputation: Resolving infinite and null values through robust median imputation.</w:t>
      </w:r>
    </w:p>
    <w:p>
      <w:pPr>
        <w:pStyle w:val="ListBullet"/>
      </w:pPr>
      <w:r>
        <w:t>• Physical Clipping: Restricting rates and packet counts strictly to non-negative domains.</w:t>
      </w:r>
    </w:p>
    <w:p>
      <w:pPr>
        <w:pStyle w:val="ListBullet"/>
      </w:pPr>
      <w:r>
        <w:t>• Stratified Splitting: Partitioning into Train (70%), Validation (15%), and Held-Out Test (15%) splits without data leakage.</w:t>
      </w:r>
    </w:p>
    <w:p>
      <w:pPr>
        <w:pStyle w:val="Heading1"/>
      </w:pPr>
      <w:r>
        <w:rPr>
          <w:color w:val="1F497D"/>
        </w:rPr>
        <w:t>2. Comparative Experimental Evaluation</w:t>
      </w:r>
    </w:p>
    <w:p>
      <w:r>
        <w:t>To rigorously prove the scientific necessity and superiority of the proposed XGBoost model, it was evaluated against three standard baselines on the held-out test dataset (12,306 flows, completely isolated during training):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592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Model Architecture</w:t>
            </w:r>
          </w:p>
        </w:tc>
        <w:tc>
          <w:tcPr>
            <w:tcW w:type="dxa" w:w="1296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Accuracy</w:t>
            </w:r>
          </w:p>
        </w:tc>
        <w:tc>
          <w:tcPr>
            <w:tcW w:type="dxa" w:w="1296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Precision</w:t>
            </w:r>
          </w:p>
        </w:tc>
        <w:tc>
          <w:tcPr>
            <w:tcW w:type="dxa" w:w="1296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Recall</w:t>
            </w:r>
          </w:p>
        </w:tc>
        <w:tc>
          <w:tcPr>
            <w:tcW w:type="dxa" w:w="144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F1-Score</w:t>
            </w:r>
          </w:p>
        </w:tc>
        <w:tc>
          <w:tcPr>
            <w:tcW w:type="dxa" w:w="144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Median Latency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Threshold Baseline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42.91%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99.96%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40.95%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58.10%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&lt; 0.10 ms</w:t>
            </w:r>
          </w:p>
        </w:tc>
      </w:tr>
      <w:tr>
        <w:tc>
          <w:tcPr>
            <w:tcW w:type="dxa" w:w="2592"/>
            <w:shd w:val="clear" w:color="auto" w:fill="F2F5F8"/>
          </w:tcPr>
          <w:p>
            <w:r>
              <w:rPr>
                <w:rFonts w:ascii="Calibri" w:hAnsi="Calibri"/>
                <w:sz w:val="18"/>
              </w:rPr>
              <w:t>Decision Tree</w:t>
            </w:r>
          </w:p>
        </w:tc>
        <w:tc>
          <w:tcPr>
            <w:tcW w:type="dxa" w:w="1296"/>
            <w:shd w:val="clear" w:color="auto" w:fill="F2F5F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99.81%</w:t>
            </w:r>
          </w:p>
        </w:tc>
        <w:tc>
          <w:tcPr>
            <w:tcW w:type="dxa" w:w="1296"/>
            <w:shd w:val="clear" w:color="auto" w:fill="F2F5F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99.91%</w:t>
            </w:r>
          </w:p>
        </w:tc>
        <w:tc>
          <w:tcPr>
            <w:tcW w:type="dxa" w:w="1296"/>
            <w:shd w:val="clear" w:color="auto" w:fill="F2F5F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99.90%</w:t>
            </w:r>
          </w:p>
        </w:tc>
        <w:tc>
          <w:tcPr>
            <w:tcW w:type="dxa" w:w="1440"/>
            <w:shd w:val="clear" w:color="auto" w:fill="F2F5F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99.90%</w:t>
            </w:r>
          </w:p>
        </w:tc>
        <w:tc>
          <w:tcPr>
            <w:tcW w:type="dxa" w:w="1440"/>
            <w:shd w:val="clear" w:color="auto" w:fill="F2F5F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0.291 ms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Random Forest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99.86%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99.94%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99.92%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99.93%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249.27 ms</w:t>
            </w:r>
          </w:p>
        </w:tc>
      </w:tr>
      <w:tr>
        <w:tc>
          <w:tcPr>
            <w:tcW w:type="dxa" w:w="2592"/>
            <w:shd w:val="clear" w:color="auto" w:fill="F2F5F8"/>
          </w:tcPr>
          <w:p>
            <w:r>
              <w:rPr>
                <w:rFonts w:ascii="Calibri" w:hAnsi="Calibri"/>
                <w:sz w:val="18"/>
              </w:rPr>
              <w:t>XGBoost (Proposed)</w:t>
            </w:r>
          </w:p>
        </w:tc>
        <w:tc>
          <w:tcPr>
            <w:tcW w:type="dxa" w:w="1296"/>
            <w:shd w:val="clear" w:color="auto" w:fill="F2F5F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99.72%</w:t>
            </w:r>
          </w:p>
        </w:tc>
        <w:tc>
          <w:tcPr>
            <w:tcW w:type="dxa" w:w="1296"/>
            <w:shd w:val="clear" w:color="auto" w:fill="F2F5F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99.97%</w:t>
            </w:r>
          </w:p>
        </w:tc>
        <w:tc>
          <w:tcPr>
            <w:tcW w:type="dxa" w:w="1296"/>
            <w:shd w:val="clear" w:color="auto" w:fill="F2F5F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99.74%</w:t>
            </w:r>
          </w:p>
        </w:tc>
        <w:tc>
          <w:tcPr>
            <w:tcW w:type="dxa" w:w="1440"/>
            <w:shd w:val="clear" w:color="auto" w:fill="F2F5F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99.86%</w:t>
            </w:r>
          </w:p>
        </w:tc>
        <w:tc>
          <w:tcPr>
            <w:tcW w:type="dxa" w:w="1440"/>
            <w:shd w:val="clear" w:color="auto" w:fill="F2F5F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0.996 ms</w:t>
            </w:r>
          </w:p>
        </w:tc>
      </w:tr>
    </w:tbl>
    <w:p/>
    <w:p>
      <w:r>
        <w:t>Critical Analysis: The static Rate threshold baseline failed catastrophically with a 59.05% False Negative Rate (FNR), failing to detect slow connection and targeted TCP floods. Random Forest suffered high single-flow latency (249 ms) due to traversing 100 deep trees. XGBoost provided the optimal trade-off: 99.86% F1-score with sub-millisecond median latency (0.996 ms) and an ultra-low 0.73% False Positive Rate.</w:t>
      </w:r>
    </w:p>
    <w:p>
      <w:pPr>
        <w:pStyle w:val="Heading2"/>
      </w:pPr>
      <w:r>
        <w:t>Experimental Performance Visualizations</w:t>
      </w:r>
    </w:p>
    <w:p>
      <w:r>
        <w:rPr>
          <w:b/>
        </w:rPr>
        <w:t>Figure 1: Comparative Evaluation Across Models</w:t>
      </w:r>
    </w:p>
    <w:p>
      <w:r>
        <w:drawing>
          <wp:inline xmlns:a="http://schemas.openxmlformats.org/drawingml/2006/main" xmlns:pic="http://schemas.openxmlformats.org/drawingml/2006/picture">
            <wp:extent cx="54864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2: Confusion Matrix — XGBoost Classifier</w:t>
      </w:r>
    </w:p>
    <w:p>
      <w:r>
        <w:drawing>
          <wp:inline xmlns:a="http://schemas.openxmlformats.org/drawingml/2006/main" xmlns:pic="http://schemas.openxmlformats.org/drawingml/2006/picture">
            <wp:extent cx="41148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XGBoo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3: ROC Curve — XGBoost Classifier (AUC = 0.9999)</w:t>
      </w:r>
    </w:p>
    <w:p>
      <w:r>
        <w:drawing>
          <wp:inline xmlns:a="http://schemas.openxmlformats.org/drawingml/2006/main" xmlns:pic="http://schemas.openxmlformats.org/drawingml/2006/picture">
            <wp:extent cx="41148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_XGBoo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F497D"/>
        </w:rPr>
        <w:t>3. REST API &amp; Zero-Touch Mitigation Integration</w:t>
      </w:r>
    </w:p>
    <w:p>
      <w:r>
        <w:t>The model is encapsulated in a high-performance FastAPI microservice exposing POST /predict and GET /health. All 18 automated unit and API integration tests passed with 100% success. A formal integration contract (mitigation_integration_contract.md) has been established to hand off detection decisions to the companion zero-touch mitigation module.</w:t>
      </w:r>
    </w:p>
    <w:p>
      <w:pPr>
        <w:pStyle w:val="Heading1"/>
      </w:pPr>
      <w:r>
        <w:rPr>
          <w:color w:val="1F497D"/>
        </w:rPr>
        <w:t>4. Research Limitations &amp; Future Work</w:t>
      </w:r>
    </w:p>
    <w:p>
      <w:pPr>
        <w:pStyle w:val="ListBullet"/>
      </w:pPr>
      <w:r>
        <w:t>1. Hardware Switch Overhead: Physical TCAM lookups and OpenFlow channel serialization add ~5–15 ms in real hardware deployments.</w:t>
      </w:r>
    </w:p>
    <w:p>
      <w:pPr>
        <w:pStyle w:val="ListBullet"/>
      </w:pPr>
      <w:r>
        <w:t>2. Flow Polling Granularity: Counters polled periodically may smooth over micro-burst floods shorter than 1 second.</w:t>
      </w:r>
    </w:p>
    <w:p>
      <w:pPr>
        <w:pStyle w:val="ListBullet"/>
      </w:pPr>
      <w:r>
        <w:t>3. Component Separation: Rule installation (OFPFlowMod) is deliberately decoupled to respect the companion team member's mitigation boundary.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