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Segoe UI" w:hAnsi="Segoe UI"/>
          <w:b/>
          <w:color w:val="1B365D"/>
          <w:sz w:val="28"/>
        </w:rPr>
        <w:t>IT4010 RESEARCH PROJECT — INDIVIDUAL LOGBOOK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4F6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Project ID :</w:t>
            </w:r>
          </w:p>
        </w:tc>
        <w:tc>
          <w:tcPr>
            <w:tcW w:type="dxa" w:w="720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J26-CS-330</w:t>
            </w:r>
          </w:p>
        </w:tc>
      </w:tr>
      <w:tr>
        <w:tc>
          <w:tcPr>
            <w:tcW w:type="dxa" w:w="2592"/>
            <w:shd w:fill="F4F6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Student Name :</w:t>
            </w:r>
          </w:p>
        </w:tc>
        <w:tc>
          <w:tcPr>
            <w:tcW w:type="dxa" w:w="720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H.M.S.H. Wijerathna</w:t>
            </w:r>
          </w:p>
        </w:tc>
      </w:tr>
      <w:tr>
        <w:tc>
          <w:tcPr>
            <w:tcW w:type="dxa" w:w="2592"/>
            <w:shd w:fill="F4F6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Registration No :</w:t>
            </w:r>
          </w:p>
        </w:tc>
        <w:tc>
          <w:tcPr>
            <w:tcW w:type="dxa" w:w="720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IT23306936</w:t>
            </w:r>
          </w:p>
        </w:tc>
      </w:tr>
      <w:tr>
        <w:tc>
          <w:tcPr>
            <w:tcW w:type="dxa" w:w="2592"/>
            <w:shd w:fill="F4F6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Component :</w:t>
            </w:r>
          </w:p>
        </w:tc>
        <w:tc>
          <w:tcPr>
            <w:tcW w:type="dxa" w:w="720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Safety-Constrained Adaptive SDN Mitigation and Monitoring System for IoMT Networks</w:t>
            </w:r>
          </w:p>
        </w:tc>
      </w:tr>
      <w:tr>
        <w:tc>
          <w:tcPr>
            <w:tcW w:type="dxa" w:w="2592"/>
            <w:shd w:fill="F4F6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Module :</w:t>
            </w:r>
          </w:p>
        </w:tc>
        <w:tc>
          <w:tcPr>
            <w:tcW w:type="dxa" w:w="720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IT4010 Research Project</w:t>
            </w:r>
          </w:p>
        </w:tc>
      </w:tr>
      <w:tr>
        <w:tc>
          <w:tcPr>
            <w:tcW w:type="dxa" w:w="2592"/>
            <w:shd w:fill="F4F6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9"/>
              </w:rPr>
              <w:t>Supervisors :</w:t>
            </w:r>
          </w:p>
        </w:tc>
        <w:tc>
          <w:tcPr>
            <w:tcW w:type="dxa" w:w="720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Mr. Kanishka Yapa (Internal Supervisor)  |  Dr. Chathura (External Supervisor / IoMT Expert)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1B365D"/>
          <w:sz w:val="22"/>
        </w:rPr>
        <w:t>Fortnight 1 (01/09/2026 – 14/09/2026) : Architecture Formulation, Clinical Constraints &amp; Invariants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792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Task / Technical Milestone / Supervisor Interactions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01/09/2026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Initial research kick-off: Formulated scope for individual component: Safety-Constrained Adaptive SDN Mitigation and Monitoring for IoMT networks.</w:t>
            </w:r>
          </w:p>
        </w:tc>
      </w:tr>
      <w:tr>
        <w:tc>
          <w:tcPr>
            <w:tcW w:type="dxa" w:w="1872"/>
            <w:shd w:fill="EFF6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02/09/2026</w:t>
            </w:r>
          </w:p>
        </w:tc>
        <w:tc>
          <w:tcPr>
            <w:tcW w:type="dxa" w:w="7920"/>
            <w:shd w:fill="EFF6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C3E50"/>
                <w:sz w:val="18"/>
              </w:rPr>
              <w:t>Meeting with Internal Supervisor Mr. Kanishka Yapa: Discussed project boundary, decoupling mitigation from ML detection, and confirmed focus on OpenFlow 1.3 meters.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03/09/2026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Studied research literature on IoMT security, CICIoMT2024 dataset, and identified that traditional static firewall drop rules cause collateral loss on medical telemetry.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04/09/2026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Drafted initial component specifications, functional requirements (FR1-FR10), and established zero-drop safety objectives for clinical patient vitals.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05/09/2026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Defined component interaction architecture: Decoupled REST API to ingest alerts from upstream detectors (DoS, Recon, MITM) without hard dependencies.</w:t>
            </w:r>
          </w:p>
        </w:tc>
      </w:tr>
      <w:tr>
        <w:tc>
          <w:tcPr>
            <w:tcW w:type="dxa" w:w="1872"/>
            <w:shd w:fill="EFF6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08/09/2026</w:t>
            </w:r>
          </w:p>
        </w:tc>
        <w:tc>
          <w:tcPr>
            <w:tcW w:type="dxa" w:w="7920"/>
            <w:shd w:fill="EFF6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C3E50"/>
                <w:sz w:val="18"/>
              </w:rPr>
              <w:t>Consultation meeting with External Supervisor Dr. Chathura: Discussed IoMT medical device characteristics (ECG, infusion pumps, patient monitors), continuous UDP streaming parameters (100 Kbit/s, 1000-byte packets), and strict clinical latency/loss thresholds in hospital ICUs.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09/09/2026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Designed Service Criticality Registry (configs/services_v2.json) categorizing ECG_Monitoring (UDP 5202) as critical and background hospital data (UDP 5201) as non-critical.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10/09/2026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Designed 5-stage adaptive mitigation pipeline: [Alert Ingestion] -&gt; [Schema Validation &amp; Criticality Lookup] -&gt; [OpenFlow Meter Rate-Limiting] -&gt; [Periodic QoS Telemetry Monitoring] -&gt; [Adaptive Reassessment &amp; Safe Cleanup].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11/09/2026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Designed safety-constrained policy rules: Implemented strict check that critical services (port 5202) can NEVER be assigned a DROP rule under any circumstances.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12/09/2026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Researched OpenFlow 1.3 meter table mechanics: Identified that meter drop bands throttle excess packets at switch ingress, relieving bottleneck queues without port shutdown.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14/09/2026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Formulated mathematical QoS evaluation thresholds: Target Throughput &gt;= 90 Kbit/s, Maximum Packet Loss &lt;= 1.0%, ICMP RTT Latency &lt;= 5 ms.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Supervisor Comments &amp; Progress Review:</w:t>
              <w:br/>
            </w:r>
            <w:r>
              <w:rPr>
                <w:i/>
                <w:sz w:val="18"/>
              </w:rPr>
              <w:t>"Component formulation is sound. Safety-first constraint separating critical ECG flows from background traffic is well-conceived. Proceed with schema validation and meter prototypes."</w:t>
            </w:r>
          </w:p>
        </w:tc>
      </w:tr>
      <w:tr>
        <w:tc>
          <w:tcPr>
            <w:tcW w:type="dxa" w:w="648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Supervisor Name: </w:t>
            </w:r>
            <w:r>
              <w:rPr>
                <w:sz w:val="18"/>
              </w:rPr>
              <w:t>Mr. Kanishka Yapa</w:t>
              <w:br/>
            </w:r>
            <w:r>
              <w:rPr>
                <w:b/>
                <w:sz w:val="18"/>
              </w:rPr>
              <w:t xml:space="preserve">Signature: __________________________   </w:t>
            </w:r>
          </w:p>
        </w:tc>
        <w:tc>
          <w:tcPr>
            <w:tcW w:type="dxa" w:w="3312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Date: 14/09/2026</w:t>
              <w:br/>
            </w:r>
            <w:r>
              <w:rPr>
                <w:b/>
                <w:color w:val="27AE60"/>
                <w:sz w:val="18"/>
              </w:rPr>
              <w:t>Status: Verified &amp; Approved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Segoe UI" w:hAnsi="Segoe UI"/>
          <w:b/>
          <w:color w:val="1B365D"/>
          <w:sz w:val="22"/>
        </w:rPr>
        <w:t>Fortnight 2 (15/09/2026 – 28/09/2026) : API Gatekeeper, Schema Contracts &amp; Baseline Diagnostic Tools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792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Task / Technical Milestone / Supervisor Interactions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15/09/2026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Implemented REST Alert Receiver API (alert_api_v2.py) with Flask to ingest DoS, Reconnaissance, and MITM threat alerts.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16/09/2026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Implemented RFC-compliant schema validation (alert_validation_v2.py) enforcing HTTP 415 (JSON required), HTTP 413 (max 64 KB payload), and HTTP 400 (strict IPv4, ISO timestamp, confidence 0.0-1.0).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17/09/2026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Hardened API with thread-safe in-flight request locking and bounded FIFO seen-cache (10,000 capacity) returning HTTP 409 Conflict on duplicate alert_ids.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18/09/2026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Defined inter-component telemetry and alert contract schemas (controller_detector_interfaces.py) ensuring plug-and-play compatibility with upstream group detectors.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21/09/2026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Built baseline network telemetry reader (qos_reader.py) and basic socket-level QoS demonstration (network_qos_demo.py).</w:t>
            </w:r>
          </w:p>
        </w:tc>
      </w:tr>
      <w:tr>
        <w:tc>
          <w:tcPr>
            <w:tcW w:type="dxa" w:w="1872"/>
            <w:shd w:fill="EFF6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22/09/2026</w:t>
            </w:r>
          </w:p>
        </w:tc>
        <w:tc>
          <w:tcPr>
            <w:tcW w:type="dxa" w:w="7920"/>
            <w:shd w:fill="EFF6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C3E50"/>
                <w:sz w:val="18"/>
              </w:rPr>
              <w:t>Discussion with External Supervisor Dr. Chathura: Reviewed IoMT packet transmission dynamics. Dr. Chathura emphasized that clinical telemetry must not suffer buffer bloat or delayed alarms during sudden hospital network congestion.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24/09/2026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Constructed initial test scripts (low_load_control_demo.py) confirming that in absence of congestion, sensor and background UDP traffic deliver 100% of packets with 0% loss.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25/09/2026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Implemented baseline congested traffic evaluation (congested_qos_demo.py): Under 5 Mbit/s load over 2 Mbit/s bottleneck, sensor delivery collapses to 22.85 Kbit/s with 77% packet loss.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26/09/2026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Constructed static blocking comparison script (static_comparison_demo.py): Confirmed that traditional port drop rules cause 100% loss for legitimate telemetry sharing the port.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28/09/2026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Wrote initial unit tests for alert validation (18 tests passing) verifying HTTP status codes and malformed payload rejections.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Supervisor Comments &amp; Progress Review:</w:t>
              <w:br/>
            </w:r>
            <w:r>
              <w:rPr>
                <w:i/>
                <w:sz w:val="18"/>
              </w:rPr>
              <w:t>"Alert schema validation and duplicate protection logic verified. Consultation with Dr. Chathura regarding ECG data integrity reflects good domain grounding. Proceed to OVS enforcement implementation."</w:t>
            </w:r>
          </w:p>
        </w:tc>
      </w:tr>
      <w:tr>
        <w:tc>
          <w:tcPr>
            <w:tcW w:type="dxa" w:w="648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Supervisor Name: </w:t>
            </w:r>
            <w:r>
              <w:rPr>
                <w:sz w:val="18"/>
              </w:rPr>
              <w:t>Mr. Kanishka Yapa</w:t>
              <w:br/>
            </w:r>
            <w:r>
              <w:rPr>
                <w:b/>
                <w:sz w:val="18"/>
              </w:rPr>
              <w:t xml:space="preserve">Signature: __________________________   </w:t>
            </w:r>
          </w:p>
        </w:tc>
        <w:tc>
          <w:tcPr>
            <w:tcW w:type="dxa" w:w="3312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Date: 28/09/2026</w:t>
              <w:br/>
            </w:r>
            <w:r>
              <w:rPr>
                <w:b/>
                <w:color w:val="27AE60"/>
                <w:sz w:val="18"/>
              </w:rPr>
              <w:t>Status: Verified &amp; Approved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Segoe UI" w:hAnsi="Segoe UI"/>
          <w:b/>
          <w:color w:val="1B365D"/>
          <w:sz w:val="22"/>
        </w:rPr>
        <w:t>Fortnight 3 (29/09/2026 – 12/10/2026) : OpenFlow 1.3 Meters, Rolling Windows, Delay Reader &amp; iperf3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792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Task / Technical Milestone / Supervisor Interactions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29/09/2026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Set up local Open vSwitch (OVS 2.17+) datapath and verified OpenFlow 1.3 meter table support (`ovs-ofctl -O OpenFlow13 add-meter`).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30/09/2026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Implemented ovs_enforcement_v2.py (OVSEnforcer): Automated creation of meter bands (`kbps, band=type=drop, rate=1000`) and associated flow rules with 64-bit random cookies.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02/10/2026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Executed diagnostic comparison (diagnostic_comparison_demo.py): OpenFlow meter rate-limiting successfully protected sensor telemetry (100.72 Kbit/s, 0% loss) while throttling background load to 1000 Kbit/s.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03/10/2026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Established strict packet accounting proof: Sent 19,112 = Meter drops 15,025 + Queue drops 106 + Delivered 3,981. Zero unaccounted packets.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05/10/2026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Integrated iperf3 3.18 generator with Linux Traffic Control (tc HTB/netem) to create an authentic, paced 2 Mbit/s bottleneck queue.</w:t>
            </w:r>
          </w:p>
        </w:tc>
      </w:tr>
      <w:tr>
        <w:tc>
          <w:tcPr>
            <w:tcW w:type="dxa" w:w="1872"/>
            <w:shd w:fill="EFF6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06/10/2026</w:t>
            </w:r>
          </w:p>
        </w:tc>
        <w:tc>
          <w:tcPr>
            <w:tcW w:type="dxa" w:w="7920"/>
            <w:shd w:fill="EFF6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C3E50"/>
                <w:sz w:val="18"/>
              </w:rPr>
              <w:t>Meeting with External Supervisor Dr. Chathura: Presented preliminary meter test results. Dr. Chathura recommended monitoring round-trip latency (RTT) alongside throughput and loss, and advised that clinical jitter should remain under 10 ms.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07/10/2026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Developed PeriodicDelayMonitor (delay_reader_v2.py): Implemented continuous ICMP RTT ping sampling using half-open time windowing [window_start, window_end).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08/10/2026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Established fail-closed telemetry principle: Missing or uncollected delay/loss metrics are recorded strictly as `null` rather than defaulting to zero, preventing false clinical alarms.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09/10/2026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Developed rolling QoS windowing engine (qos_window_v2.py): Aggregates five 2-second receiver intervals into a stable 10-second rolling window (duration &gt;= 9.9s).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10/10/2026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Implemented mathematically rigorous packet-count loss aggregation (Equation: Total Lost / Total Sent * 100%) rather than arithmetic percentage averaging.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11/10/2026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Implemented dynamic step-down reassessment logic in mitigation_policy_v2.py: If post-mitigation sensor loss exceeds 1.0%, meter rate adjusts from 1000 Kbit/s to 500 Kbit/s.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12/10/2026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Enforced bounded adjustment invariant: Policy allows exactly ONE rate adjustment to prevent cascading step-downs to 0 Kbit/s during temporary network glitches.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Supervisor Comments &amp; Progress Review:</w:t>
              <w:br/>
            </w:r>
            <w:r>
              <w:rPr>
                <w:i/>
                <w:sz w:val="18"/>
              </w:rPr>
              <w:t>"OpenFlow meter rate-limiting results are impressive (0% sensor loss vs 77% baseline). Packet conservation identity rigorously proves datapath accountability. Continue with automated lifecycle verification."</w:t>
            </w:r>
          </w:p>
        </w:tc>
      </w:tr>
      <w:tr>
        <w:tc>
          <w:tcPr>
            <w:tcW w:type="dxa" w:w="648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Supervisor Name: </w:t>
            </w:r>
            <w:r>
              <w:rPr>
                <w:sz w:val="18"/>
              </w:rPr>
              <w:t>Mr. Kanishka Yapa</w:t>
              <w:br/>
            </w:r>
            <w:r>
              <w:rPr>
                <w:b/>
                <w:sz w:val="18"/>
              </w:rPr>
              <w:t xml:space="preserve">Signature: __________________________   </w:t>
            </w:r>
          </w:p>
        </w:tc>
        <w:tc>
          <w:tcPr>
            <w:tcW w:type="dxa" w:w="3312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Date: 12/10/2026</w:t>
              <w:br/>
            </w:r>
            <w:r>
              <w:rPr>
                <w:b/>
                <w:color w:val="27AE60"/>
                <w:sz w:val="18"/>
              </w:rPr>
              <w:t>Status: Verified &amp; Approved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Segoe UI" w:hAnsi="Segoe UI"/>
          <w:b/>
          <w:color w:val="1B365D"/>
          <w:sz w:val="22"/>
        </w:rPr>
        <w:t>Fortnight 4 (13/10/2026 – 22/10/2026) : Lifecycle Cleanup Gate, Latin-Square Runner, 3D Dashboard &amp; Final Viva Readiness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792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Task / Technical Milestone / Supervisor Interactions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13/10/2026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Developed rule_lifecycle_v2.py (CleanupGate): Formulated state machine requiring two consecutive stable post-threat 10s windows (Throughput &gt;= 90k, Loss &lt;= 1%) before rule deletion.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14/10/2026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Implemented transition window invalidation: Automatically purges Window 2 and Window 4 from policy decisions to prevent transient buffer drainage from skewing metrics.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15/10/2026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Updated flow rule lease to hard_timeout=300s across all enforcers, proving that rule eviction at t=60s is executed by the algorithmic CleanupGate rather than timeout expiry.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16/10/2026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Built automated controlled lifecycle verification suite (controlled_lifecycle_test.py) with isolated Mininet topology (topology_profile.py) and canary cookie validation.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17/10/2026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Built 3-host Latin-Square comparison runner (comparison_runner.py): Scheduled full 6-permutation counterbalanced tests across Baseline, Static, and Adaptive policies to eliminate test-order bias.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18/10/2026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Completed formal multi-component telemetry contract (telemetry_contract.py) and JSON schema specification (TELEMETRY_SCHEMA.md) version 2.0.</w:t>
            </w:r>
          </w:p>
        </w:tc>
      </w:tr>
      <w:tr>
        <w:tc>
          <w:tcPr>
            <w:tcW w:type="dxa" w:w="1872"/>
            <w:shd w:fill="EFF6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19/10/2026</w:t>
            </w:r>
          </w:p>
        </w:tc>
        <w:tc>
          <w:tcPr>
            <w:tcW w:type="dxa" w:w="7920"/>
            <w:shd w:fill="EFF6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C3E50"/>
                <w:sz w:val="18"/>
              </w:rPr>
              <w:t>Demonstration meeting with External Supervisor Dr. Chathura: Showcased live telemetry streaming and clinical safety constraints under simulated attack bursts. Dr. Chathura commended the zero-loss protection for ECG telemetry and confirmed its clinical feasibility.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20/10/2026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Built full-stack clinical dashboard server (dashboard_server.py) with Server-Sent Events (SSE) live telemetry streaming, token authentication, and path traversal protection.</w:t>
            </w:r>
          </w:p>
        </w:tc>
      </w:tr>
      <w:tr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21/10/2026</w:t>
            </w:r>
          </w:p>
        </w:tc>
        <w:tc>
          <w:tcPr>
            <w:tcW w:type="dxa" w:w="79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Developed interactive web UI (templates/index.html, static/css/dashboard.css, static/js/dashboard.js) with Three.js 3D hospital SDN topology visualizer and emergency kill-switch.</w:t>
            </w:r>
          </w:p>
        </w:tc>
      </w:tr>
      <w:tr>
        <w:tc>
          <w:tcPr>
            <w:tcW w:type="dxa" w:w="187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21/10/2026</w:t>
            </w:r>
          </w:p>
        </w:tc>
        <w:tc>
          <w:tcPr>
            <w:tcW w:type="dxa" w:w="792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Authored 10-point dashboard integrity acceptance test suite (tests/test_dashboard_integrity.py) bringing total passing test suite to 131 automated unit tests.</w:t>
            </w:r>
          </w:p>
        </w:tc>
      </w:tr>
      <w:tr>
        <w:tc>
          <w:tcPr>
            <w:tcW w:type="dxa" w:w="1872"/>
            <w:shd w:fill="EFF6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22/10/2026</w:t>
            </w:r>
          </w:p>
        </w:tc>
        <w:tc>
          <w:tcPr>
            <w:tcW w:type="dxa" w:w="7920"/>
            <w:shd w:fill="EFF6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C3E50"/>
                <w:sz w:val="18"/>
              </w:rPr>
              <w:t>Meeting with Internal Supervisor Mr. Kanishka Yapa: Conducted final project inspection, verified Requirements Matrix (FR1-FR10), Runbook, and completed Viva Voce defense preparation.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Supervisor Comments &amp; Progress Review:</w:t>
              <w:br/>
            </w:r>
            <w:r>
              <w:rPr>
                <w:i/>
                <w:sz w:val="18"/>
              </w:rPr>
              <w:t>"All 10 functional requirements (FR1-FR10) fulfilled. 131 unit tests passing. Latin-Square counterbalanced comparison eliminates experimental bias. System ready for final examination."</w:t>
            </w:r>
          </w:p>
        </w:tc>
      </w:tr>
      <w:tr>
        <w:tc>
          <w:tcPr>
            <w:tcW w:type="dxa" w:w="648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Supervisor Name: </w:t>
            </w:r>
            <w:r>
              <w:rPr>
                <w:sz w:val="18"/>
              </w:rPr>
              <w:t>Mr. Kanishka Yapa</w:t>
              <w:br/>
            </w:r>
            <w:r>
              <w:rPr>
                <w:b/>
                <w:sz w:val="18"/>
              </w:rPr>
              <w:t xml:space="preserve">Signature: __________________________   </w:t>
            </w:r>
          </w:p>
        </w:tc>
        <w:tc>
          <w:tcPr>
            <w:tcW w:type="dxa" w:w="3312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Date: 22/10/2026</w:t>
              <w:br/>
            </w:r>
            <w:r>
              <w:rPr>
                <w:b/>
                <w:color w:val="27AE60"/>
                <w:sz w:val="18"/>
              </w:rPr>
              <w:t>Status: Verified &amp; Approved</w:t>
            </w:r>
          </w:p>
        </w:tc>
      </w:tr>
    </w:tbl>
    <w:p>
      <w:pPr>
        <w:spacing w:after="160"/>
      </w:pPr>
    </w:p>
    <w:p>
      <w:pPr>
        <w:spacing w:before="280"/>
      </w:pPr>
      <w:r>
        <w:rPr>
          <w:rFonts w:ascii="Segoe UI" w:hAnsi="Segoe UI"/>
          <w:b/>
          <w:color w:val="1B365D"/>
          <w:sz w:val="24"/>
        </w:rPr>
        <w:t>FINAL SUPERVISORY SIGN-OFF &amp; MODULE COMPLETION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Internal Supervisor Certification:</w:t>
              <w:br/>
            </w:r>
            <w:r>
              <w:rPr>
                <w:sz w:val="17"/>
              </w:rPr>
              <w:t>I hereby certify that the individual research component titled 'Safety-Constrained Adaptive SDN Mitigation and Monitoring System for IoMT Networks' has been completed satisfactorily by H.M.S.H. Wijerathna (IT23306936) under regular supervision.</w:t>
              <w:br/>
              <w:br/>
            </w:r>
            <w:r>
              <w:rPr>
                <w:sz w:val="17"/>
              </w:rPr>
              <w:t>Signature: _______________________</w:t>
              <w:br/>
              <w:t>Mr. Kanishka Yapa</w:t>
              <w:br/>
              <w:t>Date: 22/10/2026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External Supervisor / IoMT Expert Review:</w:t>
              <w:br/>
            </w:r>
            <w:r>
              <w:rPr>
                <w:sz w:val="17"/>
              </w:rPr>
              <w:t>I confirm that the student consulted on IoMT healthcare constraints, zero-loss safety invariants for continuous clinical ECG telemetry, and clinical dashboard design. The research demonstrates high domain validity.</w:t>
              <w:br/>
              <w:br/>
            </w:r>
            <w:r>
              <w:rPr>
                <w:sz w:val="17"/>
              </w:rPr>
              <w:t>Signature: _______________________</w:t>
              <w:br/>
              <w:t>Dr. Chathura</w:t>
              <w:br/>
              <w:t>Date: 22/10/2026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