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A365D"/>
          <w:sz w:val="40"/>
        </w:rPr>
        <w:t>ENTERPRISE INFRASTRUCTURE SIZING &amp; HOSTING SPECIFICATION</w:t>
      </w:r>
    </w:p>
    <w:p>
      <w:pPr>
        <w:spacing w:after="360"/>
        <w:jc w:val="center"/>
      </w:pPr>
      <w:r>
        <w:rPr>
          <w:rFonts w:ascii="Arial" w:hAnsi="Arial"/>
          <w:i/>
          <w:color w:val="4A5568"/>
          <w:sz w:val="22"/>
        </w:rPr>
        <w:t>Multi-Tenant Automobile Dealership Software Ecosystem</w:t>
        <w:br/>
        <w:t>Baseline Core Stack + 10 Additional Domain Applications (13 Total Apps)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B6CB0"/>
          </w:tcPr>
          <w:p>
            <w:pPr>
              <w:spacing w:before="40" w:after="40"/>
            </w:pPr>
            <w:r/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1. Application Overview</w:t>
      </w:r>
    </w:p>
    <w:p>
      <w:pPr>
        <w:spacing w:after="80" w:line="276" w:lineRule="auto"/>
      </w:pPr>
      <w:r>
        <w:rPr>
          <w:rFonts w:ascii="Arial" w:hAnsi="Arial"/>
          <w:b/>
          <w:color w:val="2D3748"/>
          <w:sz w:val="20"/>
        </w:rPr>
        <w:t xml:space="preserve">What the Platform Does: </w:t>
      </w:r>
      <w:r>
        <w:rPr>
          <w:rFonts w:ascii="Arial" w:hAnsi="Arial"/>
          <w:color w:val="2D3748"/>
          <w:sz w:val="20"/>
        </w:rPr>
        <w:t>A modern, multi-tenant digital dealership operating system engineered for automotive dealer groups, OEM retail franchise networks, and multi-brand conglomerates. The platform centralizes organizational governance, Single Sign-On (SSO), Scoped Role-Based Access Control (RBAC), and transactional domain workflows across all dealership departments while preserving autonomous, decoupled service operations.</w:t>
      </w:r>
    </w:p>
    <w:p>
      <w:pPr>
        <w:keepNext/>
        <w:spacing w:before="200" w:after="80"/>
      </w:pPr>
      <w:r>
        <w:rPr>
          <w:rFonts w:ascii="Arial" w:hAnsi="Arial"/>
          <w:b/>
          <w:color w:val="2B6CB0"/>
          <w:sz w:val="24"/>
        </w:rPr>
        <w:t>1.1 Application Portfolio (Current Live + 10 Planned Apps)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  <w:tblCellMar>
          <w:top w:w="120" w:type="dxa"/>
          <w:bottom w:w="120" w:type="dxa"/>
          <w:left w:w="140" w:type="dxa"/>
          <w:right w:w="14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592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1152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760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Functional Scope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Ecosystem Core &amp; Portal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Live</w:t>
            </w:r>
          </w:p>
        </w:tc>
        <w:tc>
          <w:tcPr>
            <w:tcW w:type="dxa" w:w="57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Group governance, tenant/firm/branch hierarchy, user directory, app registry, integration sync monitor.</w:t>
            </w:r>
          </w:p>
        </w:tc>
      </w:tr>
      <w:tr>
        <w:tc>
          <w:tcPr>
            <w:tcW w:type="dxa" w:w="57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HRFlow</w:t>
            </w:r>
          </w:p>
        </w:tc>
        <w:tc>
          <w:tcPr>
            <w:tcW w:type="dxa" w:w="115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Live</w:t>
            </w:r>
          </w:p>
        </w:tc>
        <w:tc>
          <w:tcPr>
            <w:tcW w:type="dxa" w:w="57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Employee master, digital onboarding, Indian attendance/biometrics, statutory payroll (PF/ESI/TDS), exit clearance.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Maintly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Live</w:t>
            </w:r>
          </w:p>
        </w:tc>
        <w:tc>
          <w:tcPr>
            <w:tcW w:type="dxa" w:w="57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Facility maintenance, equipment breakdown tickets, asset registers, preventive maintenance, SLA breach engine, vendor purchase advice.</w:t>
            </w:r>
          </w:p>
        </w:tc>
      </w:tr>
      <w:tr>
        <w:tc>
          <w:tcPr>
            <w:tcW w:type="dxa" w:w="57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Enquiry CRM &amp; Leads</w:t>
            </w:r>
          </w:p>
        </w:tc>
        <w:tc>
          <w:tcPr>
            <w:tcW w:type="dxa" w:w="115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Planned</w:t>
            </w:r>
          </w:p>
        </w:tc>
        <w:tc>
          <w:tcPr>
            <w:tcW w:type="dxa" w:w="57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Lead capture, test drive dispatch, pipeline tracking, OEM lead integration.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5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Vehicle Quotation &amp; Billing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Planned</w:t>
            </w:r>
          </w:p>
        </w:tc>
        <w:tc>
          <w:tcPr>
            <w:tcW w:type="dxa" w:w="57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Proforma invoices, GST tax compliance, road tax/RTO registration, delivery order tracking.</w:t>
            </w:r>
          </w:p>
        </w:tc>
      </w:tr>
      <w:tr>
        <w:tc>
          <w:tcPr>
            <w:tcW w:type="dxa" w:w="57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6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Spare Parts &amp; Inventory</w:t>
            </w:r>
          </w:p>
        </w:tc>
        <w:tc>
          <w:tcPr>
            <w:tcW w:type="dxa" w:w="115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Planned</w:t>
            </w:r>
          </w:p>
        </w:tc>
        <w:tc>
          <w:tcPr>
            <w:tcW w:type="dxa" w:w="57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Parts counter sales, workshop requisition slips, reorder thresholds, inventory valuation.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7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Job Card &amp; Bodyshop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Planned</w:t>
            </w:r>
          </w:p>
        </w:tc>
        <w:tc>
          <w:tcPr>
            <w:tcW w:type="dxa" w:w="57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Service bay allocation, technician job tracking, accident damage estimation, insurance surveyor desk.</w:t>
            </w:r>
          </w:p>
        </w:tc>
      </w:tr>
      <w:tr>
        <w:tc>
          <w:tcPr>
            <w:tcW w:type="dxa" w:w="57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8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Stockyard &amp; Vehicle PDI</w:t>
            </w:r>
          </w:p>
        </w:tc>
        <w:tc>
          <w:tcPr>
            <w:tcW w:type="dxa" w:w="115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Planned</w:t>
            </w:r>
          </w:p>
        </w:tc>
        <w:tc>
          <w:tcPr>
            <w:tcW w:type="dxa" w:w="57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Chassis transit receipt, pre-delivery inspection (PDI), stock allocation, security gate passes.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9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Insurance &amp; Warranty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Planned</w:t>
            </w:r>
          </w:p>
        </w:tc>
        <w:tc>
          <w:tcPr>
            <w:tcW w:type="dxa" w:w="57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Motor insurance renewals, claim intimations, extended warranty policy management.</w:t>
            </w:r>
          </w:p>
        </w:tc>
      </w:tr>
      <w:tr>
        <w:tc>
          <w:tcPr>
            <w:tcW w:type="dxa" w:w="57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10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Finance &amp; Loan Desk</w:t>
            </w:r>
          </w:p>
        </w:tc>
        <w:tc>
          <w:tcPr>
            <w:tcW w:type="dxa" w:w="115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Planned</w:t>
            </w:r>
          </w:p>
        </w:tc>
        <w:tc>
          <w:tcPr>
            <w:tcW w:type="dxa" w:w="57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Bank loan application documentation, subvention calculations, financier payout reconciliation.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11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Customer Service &amp; Loyalty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Planned</w:t>
            </w:r>
          </w:p>
        </w:tc>
        <w:tc>
          <w:tcPr>
            <w:tcW w:type="dxa" w:w="57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Customer web touchpoint, service booking, maintenance history, loyalty points.</w:t>
            </w:r>
          </w:p>
        </w:tc>
      </w:tr>
      <w:tr>
        <w:tc>
          <w:tcPr>
            <w:tcW w:type="dxa" w:w="57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12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Used Car Trade-In &amp; Valuation</w:t>
            </w:r>
          </w:p>
        </w:tc>
        <w:tc>
          <w:tcPr>
            <w:tcW w:type="dxa" w:w="115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Planned</w:t>
            </w:r>
          </w:p>
        </w:tc>
        <w:tc>
          <w:tcPr>
            <w:tcW w:type="dxa" w:w="57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Inspection checklists, refurbishment costing, exchange trade-in inventory.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13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Accounts &amp; Vendor Payouts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Planned</w:t>
            </w:r>
          </w:p>
        </w:tc>
        <w:tc>
          <w:tcPr>
            <w:tcW w:type="dxa" w:w="57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Vendor ledger reconciliation, e-invoicing, TDS filing advice settlement.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Arial" w:hAnsi="Arial"/>
          <w:b/>
          <w:color w:val="2B6CB0"/>
          <w:sz w:val="24"/>
        </w:rPr>
        <w:t>1.2 Target Users &amp; Sizing Projections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Internal Staff (90%): </w:t>
      </w:r>
      <w:r>
        <w:rPr>
          <w:rFonts w:ascii="Arial" w:hAnsi="Arial"/>
          <w:color w:val="2D3748"/>
          <w:sz w:val="20"/>
        </w:rPr>
        <w:t>Showroom executives, service advisors, workshop technicians, storekeepers, accounts staff, HR, General Managers, CXOs.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External Vendors (7%): </w:t>
      </w:r>
      <w:r>
        <w:rPr>
          <w:rFonts w:ascii="Arial" w:hAnsi="Arial"/>
          <w:color w:val="2D3748"/>
          <w:sz w:val="20"/>
        </w:rPr>
        <w:t>Facility contractors, outsourced repair technicians, OEM auditors, surveyors.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Customer Portals (3%): </w:t>
      </w:r>
      <w:r>
        <w:rPr>
          <w:rFonts w:ascii="Arial" w:hAnsi="Arial"/>
          <w:color w:val="2D3748"/>
          <w:sz w:val="20"/>
        </w:rPr>
        <w:t>Direct vehicle buyers tracking service job cards, quotes, and deliveries.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  <w:tblCellMar>
          <w:top w:w="120" w:type="dxa"/>
          <w:bottom w:w="120" w:type="dxa"/>
          <w:left w:w="140" w:type="dxa"/>
          <w:right w:w="140" w:type="dxa"/>
        </w:tblCellMar>
      </w:tblPr>
      <w:tblGrid>
        <w:gridCol w:w="3360"/>
        <w:gridCol w:w="3360"/>
        <w:gridCol w:w="3360"/>
      </w:tblGrid>
      <w:tr>
        <w:tc>
          <w:tcPr>
            <w:tcW w:type="dxa" w:w="3600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Capacity Dimension</w:t>
            </w:r>
          </w:p>
        </w:tc>
        <w:tc>
          <w:tcPr>
            <w:tcW w:type="dxa" w:w="3168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Launch Stage (3 Apps)</w:t>
            </w:r>
          </w:p>
        </w:tc>
        <w:tc>
          <w:tcPr>
            <w:tcW w:type="dxa" w:w="3312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06–12 Month Scale (13 Apps)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Dealership Groups (Tenants)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 – 5 Conglomerates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15 – 30 Conglomerates</w:t>
            </w:r>
          </w:p>
        </w:tc>
      </w:tr>
      <w:tr>
        <w:tc>
          <w:tcPr>
            <w:tcW w:type="dxa" w:w="360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Physical Branches / Outlets</w:t>
            </w:r>
          </w:p>
        </w:tc>
        <w:tc>
          <w:tcPr>
            <w:tcW w:type="dxa" w:w="3168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15 – 30 Showrooms / Workshops</w:t>
            </w:r>
          </w:p>
        </w:tc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150 – 300 Physical Facilities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Total Registered User Accounts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1,500 – 2,500 Users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10,000 – 15,000 Users</w:t>
            </w:r>
          </w:p>
        </w:tc>
      </w:tr>
      <w:tr>
        <w:tc>
          <w:tcPr>
            <w:tcW w:type="dxa" w:w="360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Peak Concurrent Active Users</w:t>
            </w:r>
          </w:p>
        </w:tc>
        <w:tc>
          <w:tcPr>
            <w:tcW w:type="dxa" w:w="3168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300 – 500 Concurrent Users</w:t>
            </w:r>
          </w:p>
        </w:tc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2,000 – 3,500 Concurrent Users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Average Request Throughput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30 – 50 requests/sec (RPS)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350 – 550 requests/sec (RPS)</w:t>
            </w:r>
          </w:p>
        </w:tc>
      </w:tr>
      <w:tr>
        <w:tc>
          <w:tcPr>
            <w:tcW w:type="dxa" w:w="360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Peak Request Throughput</w:t>
            </w:r>
          </w:p>
        </w:tc>
        <w:tc>
          <w:tcPr>
            <w:tcW w:type="dxa" w:w="3168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120 – 180 requests/sec (RPS)</w:t>
            </w:r>
          </w:p>
        </w:tc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1,200 – 2,000 requests/sec (RPS)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Daily Request Transactions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~250,000 – 400,000 / day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3,500,000 – 5,500,000 / day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Arial" w:hAnsi="Arial"/>
          <w:b/>
          <w:color w:val="2B6CB0"/>
          <w:sz w:val="24"/>
        </w:rPr>
        <w:t>1.3 Architecture Pattern &amp; Tiers Involved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Architecture Style: </w:t>
      </w:r>
      <w:r>
        <w:rPr>
          <w:rFonts w:ascii="Arial" w:hAnsi="Arial"/>
          <w:color w:val="2D3748"/>
          <w:sz w:val="20"/>
        </w:rPr>
        <w:t>Containerized microservices orchestrated via Docker Compose / Kubernetes.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Edge / Ingress Tier: </w:t>
      </w:r>
      <w:r>
        <w:rPr>
          <w:rFonts w:ascii="Arial" w:hAnsi="Arial"/>
          <w:color w:val="2D3748"/>
          <w:sz w:val="20"/>
        </w:rPr>
        <w:t>Nginx Reverse Proxy with TLS 1.3 termination, rate limiting, and gzip compression.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Identity &amp; Auth Tier: </w:t>
      </w:r>
      <w:r>
        <w:rPr>
          <w:rFonts w:ascii="Arial" w:hAnsi="Arial"/>
          <w:color w:val="2D3748"/>
          <w:sz w:val="20"/>
        </w:rPr>
        <w:t>Keycloak 24+ (Quarkus) OIDC cluster with RS256 token signing and PKCE.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Frontend Tier: </w:t>
      </w:r>
      <w:r>
        <w:rPr>
          <w:rFonts w:ascii="Arial" w:hAnsi="Arial"/>
          <w:color w:val="2D3748"/>
          <w:sz w:val="20"/>
        </w:rPr>
        <w:t>Pure React 18 SPAs compiled to static bundles served behind Nginx/CDN.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Backend Microservice Tier: </w:t>
      </w:r>
      <w:r>
        <w:rPr>
          <w:rFonts w:ascii="Arial" w:hAnsi="Arial"/>
          <w:color w:val="2D3748"/>
          <w:sz w:val="20"/>
        </w:rPr>
        <w:t>Node.js (Express) domain microservices with Prisma ORM.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Event Mesh Tier: </w:t>
      </w:r>
      <w:r>
        <w:rPr>
          <w:rFonts w:ascii="Arial" w:hAnsi="Arial"/>
          <w:color w:val="2D3748"/>
          <w:sz w:val="20"/>
        </w:rPr>
        <w:t>RabbitMQ 3.13 cluster with durable Topic Exchanges and Dead-Letter Exchanges (DLX).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Cache &amp; Worker Tier: </w:t>
      </w:r>
      <w:r>
        <w:rPr>
          <w:rFonts w:ascii="Arial" w:hAnsi="Arial"/>
          <w:color w:val="2D3748"/>
          <w:sz w:val="20"/>
        </w:rPr>
        <w:t>Redis 7 cluster for session caching, rate limits, and BullMQ async queues.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Persistence Tier: </w:t>
      </w:r>
      <w:r>
        <w:rPr>
          <w:rFonts w:ascii="Arial" w:hAnsi="Arial"/>
          <w:color w:val="2D3748"/>
          <w:sz w:val="20"/>
        </w:rPr>
        <w:t>PostgreSQL 18 High-Availability cluster with dedicated database-per-domain isolation.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2.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  <w:tblCellMar>
          <w:top w:w="120" w:type="dxa"/>
          <w:bottom w:w="120" w:type="dxa"/>
          <w:left w:w="140" w:type="dxa"/>
          <w:right w:w="14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2592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584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744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Role / Purpose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Backend Runtime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Node.js (Active LTS)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v20.x / v22.x LTS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Event-driven non-blocking I/O API layer</w:t>
            </w:r>
          </w:p>
        </w:tc>
      </w:tr>
      <w:tr>
        <w:tc>
          <w:tcPr>
            <w:tcW w:type="dxa" w:w="21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API Framework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Express.js</w:t>
            </w:r>
          </w:p>
        </w:tc>
        <w:tc>
          <w:tcPr>
            <w:tcW w:type="dxa" w:w="158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4.19+</w:t>
            </w:r>
          </w:p>
        </w:tc>
        <w:tc>
          <w:tcPr>
            <w:tcW w:type="dxa" w:w="374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RESTful routing, validation, middleware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ORM / Data Access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Prisma ORM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5.19+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Type-safe schemas, connection pooling, migrations</w:t>
            </w:r>
          </w:p>
        </w:tc>
      </w:tr>
      <w:tr>
        <w:tc>
          <w:tcPr>
            <w:tcW w:type="dxa" w:w="21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Frontend Framework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React 18 + Vite</w:t>
            </w:r>
          </w:p>
        </w:tc>
        <w:tc>
          <w:tcPr>
            <w:tcW w:type="dxa" w:w="158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18.3+</w:t>
            </w:r>
          </w:p>
        </w:tc>
        <w:tc>
          <w:tcPr>
            <w:tcW w:type="dxa" w:w="374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Fast SPA client-side rendering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UI &amp; Styling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TailwindCSS + Lucide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3.4+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Enterprise responsive automotive UI design</w:t>
            </w:r>
          </w:p>
        </w:tc>
      </w:tr>
      <w:tr>
        <w:tc>
          <w:tcPr>
            <w:tcW w:type="dxa" w:w="21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Identity &amp; Access (IdP)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Keycloak (Quarkus)</w:t>
            </w:r>
          </w:p>
        </w:tc>
        <w:tc>
          <w:tcPr>
            <w:tcW w:type="dxa" w:w="158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24.0.5+</w:t>
            </w:r>
          </w:p>
        </w:tc>
        <w:tc>
          <w:tcPr>
            <w:tcW w:type="dxa" w:w="374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OIDC, OAuth 2.0, SSO, token issuance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Ingress Web Server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Nginx Alpine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1.25+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Reverse proxy, SSL termination, path routing</w:t>
            </w:r>
          </w:p>
        </w:tc>
      </w:tr>
      <w:tr>
        <w:tc>
          <w:tcPr>
            <w:tcW w:type="dxa" w:w="21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Message Broker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RabbitMQ</w:t>
            </w:r>
          </w:p>
        </w:tc>
        <w:tc>
          <w:tcPr>
            <w:tcW w:type="dxa" w:w="158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3.13-alpine</w:t>
            </w:r>
          </w:p>
        </w:tc>
        <w:tc>
          <w:tcPr>
            <w:tcW w:type="dxa" w:w="374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AMQP event-driven bus with DLX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In-Memory Cache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Redis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7.2-alpine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Cache, token revocation, BullMQ queues</w:t>
            </w:r>
          </w:p>
        </w:tc>
      </w:tr>
      <w:tr>
        <w:tc>
          <w:tcPr>
            <w:tcW w:type="dxa" w:w="21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Database Engine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PostgreSQL</w:t>
            </w:r>
          </w:p>
        </w:tc>
        <w:tc>
          <w:tcPr>
            <w:tcW w:type="dxa" w:w="158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18-alpine / 16+</w:t>
            </w:r>
          </w:p>
        </w:tc>
        <w:tc>
          <w:tcPr>
            <w:tcW w:type="dxa" w:w="374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Relational ACID DB with JSONB &amp; B-Tree indexes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Containerization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Docker Engine / Compose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26.0+ / v2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Container packaging and orchestration</w:t>
            </w:r>
          </w:p>
        </w:tc>
      </w:tr>
      <w:tr>
        <w:tc>
          <w:tcPr>
            <w:tcW w:type="dxa" w:w="21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Production K8s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Kubernetes (EKS/AKS/RKE2)</w:t>
            </w:r>
          </w:p>
        </w:tc>
        <w:tc>
          <w:tcPr>
            <w:tcW w:type="dxa" w:w="158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1.29+</w:t>
            </w:r>
          </w:p>
        </w:tc>
        <w:tc>
          <w:tcPr>
            <w:tcW w:type="dxa" w:w="374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Clustering, auto-scaling, self-healing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3. Operating System &amp; Licensing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Preferred Host OS: </w:t>
      </w:r>
      <w:r>
        <w:rPr>
          <w:rFonts w:ascii="Arial" w:hAnsi="Arial"/>
          <w:color w:val="2D3748"/>
          <w:sz w:val="20"/>
        </w:rPr>
        <w:t>Ubuntu Server 24.04 LTS (Noble Numbat) or Ubuntu 22.04 LTS (x86_64 / amd64). Enterprise alternative: Red Hat Enterprise Linux (RHEL) 9.3+ or Rocky Linux 9.3+.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Application Software Licensing: </w:t>
      </w:r>
      <w:r>
        <w:rPr>
          <w:rFonts w:ascii="Arial" w:hAnsi="Arial"/>
          <w:color w:val="2D3748"/>
          <w:sz w:val="20"/>
        </w:rPr>
        <w:t>100% Free &amp; Open Source (FOSS). The entire runtime stack (Node.js, Express, React, PostgreSQL, Keycloak, RabbitMQ, Redis, Nginx) carries zero software license fees.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Host OS Licensing: </w:t>
      </w:r>
      <w:r>
        <w:rPr>
          <w:rFonts w:ascii="Arial" w:hAnsi="Arial"/>
          <w:color w:val="2D3748"/>
          <w:sz w:val="20"/>
        </w:rPr>
        <w:t>If Ubuntu: Free community license. If RHEL: Client/host supplies standard Red Hat Enterprise Linux Server subscription.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SSL/TLS Licensing: </w:t>
      </w:r>
      <w:r>
        <w:rPr>
          <w:rFonts w:ascii="Arial" w:hAnsi="Arial"/>
          <w:color w:val="2D3748"/>
          <w:sz w:val="20"/>
        </w:rPr>
        <w:t>Automated Let's Encrypt Wildcard certificates (zero cost), or client-provided commercial Sectigo/DigiCert SAN Wildcard SSL certificate.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4. Compute Sizing (vCPU &amp; RAM)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The table below details resource sizing for the launch phase (current 3 apps) versus full capacity with all 10 additional domain applications hosted simultaneously.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  <w:tblCellMar>
          <w:top w:w="120" w:type="dxa"/>
          <w:bottom w:w="120" w:type="dxa"/>
          <w:left w:w="140" w:type="dxa"/>
          <w:right w:w="140" w:type="dxa"/>
        </w:tblCellMar>
      </w:tblPr>
      <w:tblGrid>
        <w:gridCol w:w="3360"/>
        <w:gridCol w:w="3360"/>
        <w:gridCol w:w="3360"/>
      </w:tblGrid>
      <w:tr>
        <w:tc>
          <w:tcPr>
            <w:tcW w:type="dxa" w:w="3312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Component / Workload</w:t>
            </w:r>
          </w:p>
        </w:tc>
        <w:tc>
          <w:tcPr>
            <w:tcW w:type="dxa" w:w="3312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Launch Stage (3 Apps)</w:t>
            </w:r>
          </w:p>
        </w:tc>
        <w:tc>
          <w:tcPr>
            <w:tcW w:type="dxa" w:w="3456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Full 13-App Enterprise Scale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Nginx Ingress / Gateway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 vCPU, 4 GB RAM (2 nodes)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8 vCPU, 8 GB RAM (4 nodes / ALB)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Keycloak OIDC Cluster</w:t>
            </w:r>
          </w:p>
        </w:tc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 vCPU, 8 GB RAM (2 nodes)</w:t>
            </w:r>
          </w:p>
        </w:tc>
        <w:tc>
          <w:tcPr>
            <w:tcW w:type="dxa" w:w="345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6 vCPU, 16 GB RAM (3 nodes)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Ecosystem Core API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 vCPU, 4 GB RAM (2 pods)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 vCPU, 8 GB RAM (4 pods)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HRFlow API</w:t>
            </w:r>
          </w:p>
        </w:tc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 vCPU, 4 GB RAM (2 pods)</w:t>
            </w:r>
          </w:p>
        </w:tc>
        <w:tc>
          <w:tcPr>
            <w:tcW w:type="dxa" w:w="345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 vCPU, 4 GB RAM (2 pods)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Maintly API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 vCPU, 4 GB RAM (2 pods)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 vCPU, 4 GB RAM (2 pods)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10 Domain App APIs</w:t>
            </w:r>
          </w:p>
        </w:tc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Not Deployed</w:t>
            </w:r>
          </w:p>
        </w:tc>
        <w:tc>
          <w:tcPr>
            <w:tcW w:type="dxa" w:w="345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20 vCPU, 40 GB RAM (10 apps × 2 pods each)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Frontend Web SPAs (Static)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 vCPU, 1 GB RAM (Nginx)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 vCPU, 4 GB RAM (CDN / Nginx)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RabbitMQ Message Broker</w:t>
            </w:r>
          </w:p>
        </w:tc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 vCPU, 8 GB RAM (2 nodes)</w:t>
            </w:r>
          </w:p>
        </w:tc>
        <w:tc>
          <w:tcPr>
            <w:tcW w:type="dxa" w:w="345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6 vCPU, 16 GB RAM (3-node cluster)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Redis Cache &amp; Queues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 vCPU, 4 GB RAM (Primary+Sentinel)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 vCPU, 8 GB RAM (Cluster)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PostgreSQL 18 Primary Node</w:t>
            </w:r>
          </w:p>
        </w:tc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 vCPU, 16 GB RAM</w:t>
            </w:r>
          </w:p>
        </w:tc>
        <w:tc>
          <w:tcPr>
            <w:tcW w:type="dxa" w:w="345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16 vCPU, 64 GB RAM (Dedicated)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PostgreSQL 18 Standby Node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 vCPU, 16 GB RAM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16 vCPU, 64 GB RAM (Dedicated)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Monitoring &amp; Logging</w:t>
            </w:r>
          </w:p>
        </w:tc>
        <w:tc>
          <w:tcPr>
            <w:tcW w:type="dxa" w:w="331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 vCPU, 4 GB RAM</w:t>
            </w:r>
          </w:p>
        </w:tc>
        <w:tc>
          <w:tcPr>
            <w:tcW w:type="dxa" w:w="345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 vCPU, 8 GB RAM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TOTAL COMPUTE REQUIRED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31 vCPU, 73 GB RAM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88 vCPU, 244 GB RAM</w:t>
            </w:r>
          </w:p>
        </w:tc>
      </w:tr>
    </w:tbl>
    <w:p>
      <w:pPr>
        <w:spacing w:after="80"/>
      </w:pP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GPU Requirement: </w:t>
      </w:r>
      <w:r>
        <w:rPr>
          <w:rFonts w:ascii="Arial" w:hAnsi="Arial"/>
          <w:color w:val="2D3748"/>
          <w:sz w:val="20"/>
        </w:rPr>
        <w:t>Zero (0) GPU required. The entire stack is I/O-bound, transactional, and relational.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Environments Required: </w:t>
      </w:r>
      <w:r>
        <w:rPr>
          <w:rFonts w:ascii="Arial" w:hAnsi="Arial"/>
          <w:color w:val="2D3748"/>
          <w:sz w:val="20"/>
        </w:rPr>
        <w:t>Development (1 VM: 8 vCPU, 32 GB RAM, 250 GB SSD) -&gt; Staging/UAT (16 vCPU, 64 GB RAM) -&gt; Production HA Cluster.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5. Storage Sizing &amp; File Storage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  <w:tblCellMar>
          <w:top w:w="120" w:type="dxa"/>
          <w:bottom w:w="120" w:type="dxa"/>
          <w:left w:w="140" w:type="dxa"/>
          <w:right w:w="140" w:type="dxa"/>
        </w:tblCellMar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Workload</w:t>
            </w:r>
          </w:p>
        </w:tc>
        <w:tc>
          <w:tcPr>
            <w:tcW w:type="dxa" w:w="1728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Storage Type</w:t>
            </w:r>
          </w:p>
        </w:tc>
        <w:tc>
          <w:tcPr>
            <w:tcW w:type="dxa" w:w="1584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Launch</w:t>
            </w:r>
          </w:p>
        </w:tc>
        <w:tc>
          <w:tcPr>
            <w:tcW w:type="dxa" w:w="2016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12–24 Months</w:t>
            </w:r>
          </w:p>
        </w:tc>
        <w:tc>
          <w:tcPr>
            <w:tcW w:type="dxa" w:w="2160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Performance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Host OS, Logs &amp; Docker Images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NVMe / SSD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100 GB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300 GB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3,000 IOPS</w:t>
            </w:r>
          </w:p>
        </w:tc>
      </w:tr>
      <w:tr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PostgreSQL Database Files</w:t>
            </w:r>
          </w:p>
        </w:tc>
        <w:tc>
          <w:tcPr>
            <w:tcW w:type="dxa" w:w="1728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NVMe (RAID 10)</w:t>
            </w:r>
          </w:p>
        </w:tc>
        <w:tc>
          <w:tcPr>
            <w:tcW w:type="dxa" w:w="158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100 GB</w:t>
            </w:r>
          </w:p>
        </w:tc>
        <w:tc>
          <w:tcPr>
            <w:tcW w:type="dxa" w:w="201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1,000 GB (1 TB)</w:t>
            </w:r>
          </w:p>
        </w:tc>
        <w:tc>
          <w:tcPr>
            <w:tcW w:type="dxa" w:w="21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10,000+ IOPS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RabbitMQ &amp; Redis Logs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SSD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50 GB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150 GB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Sequential low latency</w:t>
            </w:r>
          </w:p>
        </w:tc>
      </w:tr>
      <w:tr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Document &amp; Object Storage</w:t>
            </w:r>
          </w:p>
        </w:tc>
        <w:tc>
          <w:tcPr>
            <w:tcW w:type="dxa" w:w="1728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S3 / MinIO</w:t>
            </w:r>
          </w:p>
        </w:tc>
        <w:tc>
          <w:tcPr>
            <w:tcW w:type="dxa" w:w="158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250 GB</w:t>
            </w:r>
          </w:p>
        </w:tc>
        <w:tc>
          <w:tcPr>
            <w:tcW w:type="dxa" w:w="2016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3,000 – 5,000 GB (3–5 TB)</w:t>
            </w:r>
          </w:p>
        </w:tc>
        <w:tc>
          <w:tcPr>
            <w:tcW w:type="dxa" w:w="2160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High durability object store</w:t>
            </w:r>
          </w:p>
        </w:tc>
      </w:tr>
    </w:tbl>
    <w:p>
      <w:pPr>
        <w:spacing w:after="80"/>
      </w:pP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Unstructured Files Handled: </w:t>
      </w:r>
      <w:r>
        <w:rPr>
          <w:rFonts w:ascii="Arial" w:hAnsi="Arial"/>
          <w:color w:val="2D3748"/>
          <w:sz w:val="20"/>
        </w:rPr>
        <w:t>HR documents (Aadhaar/PAN/agreements/pay slips), Maintenance breakdown photos, CRM KYC documents, Bodyshop high-res accident photos (5-10 per repair order).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Storage Architecture: </w:t>
      </w:r>
      <w:r>
        <w:rPr>
          <w:rFonts w:ascii="Arial" w:hAnsi="Arial"/>
          <w:color w:val="2D3748"/>
          <w:sz w:val="20"/>
        </w:rPr>
        <w:t>Self-hosted MinIO cluster (S3-compatible) or AWS S3 / Azure Blob Storage. File uploads use presigned URLs to stream directly to object storage without exhausting API server memory.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6. Databases Architecture &amp; Backup Strategy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Database Engine: </w:t>
      </w:r>
      <w:r>
        <w:rPr>
          <w:rFonts w:ascii="Arial" w:hAnsi="Arial"/>
          <w:color w:val="2D3748"/>
          <w:sz w:val="20"/>
        </w:rPr>
        <w:t>PostgreSQL 18 (or PostgreSQL 16 LTS) with PgBouncer connection pooler in transaction pooling mode.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Isolation Strategy (Database-per-Domain): </w:t>
      </w:r>
      <w:r>
        <w:rPr>
          <w:rFonts w:ascii="Arial" w:hAnsi="Arial"/>
          <w:color w:val="2D3748"/>
          <w:sz w:val="20"/>
        </w:rPr>
        <w:t>Each application maintains its own dedicated database (ecosystem_core_db, keycloak_db, hrflow_db, maintly_db, and separate databases for each of the 10 upcoming apps) to ensure complete data isolation and avoid noisy-neighbor locks.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High Availability (HA): </w:t>
      </w:r>
      <w:r>
        <w:rPr>
          <w:rFonts w:ascii="Arial" w:hAnsi="Arial"/>
          <w:color w:val="2D3748"/>
          <w:sz w:val="20"/>
        </w:rPr>
        <w:t>Active Primary + Hot Synchronous Standby replica with automated failover via Patroni + etcd or AWS RDS Multi-AZ / Azure Flexible HA (RPO = 0, RTO &lt; 30 seconds).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Backup &amp; Retention: </w:t>
      </w:r>
      <w:r>
        <w:rPr>
          <w:rFonts w:ascii="Arial" w:hAnsi="Arial"/>
          <w:color w:val="2D3748"/>
          <w:sz w:val="20"/>
        </w:rPr>
        <w:t>Continuous WAL archiving (Point-In-Time Recovery to any second for 14 days) + Nightly full snapshots at 02:30 AM (retained 30 days) + Monthly financial year-end archives retained for 7 years (tax compliance).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7. Network, Connectivity &amp; Security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Internet Bandwidth: </w:t>
      </w:r>
      <w:r>
        <w:rPr>
          <w:rFonts w:ascii="Arial" w:hAnsi="Arial"/>
          <w:color w:val="2D3748"/>
          <w:sz w:val="20"/>
        </w:rPr>
        <w:t>Launch: 50 Mbps burstable to 100 Mbps. 13-App Enterprise Scale: 200 Mbps committed bandwidth burstable to 500 Mbps – 1 Gbps (estimated 4–8 TB monthly egress).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Public IPs &amp; SSL: </w:t>
      </w:r>
      <w:r>
        <w:rPr>
          <w:rFonts w:ascii="Arial" w:hAnsi="Arial"/>
          <w:color w:val="2D3748"/>
          <w:sz w:val="20"/>
        </w:rPr>
        <w:t>2 Public IPv4 addresses (for redundant Ingress Load Balancers) + 1 Wildcard SSL Certificate (*.dealershipecosystem.in) with TLS 1.3 encryption.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Branch Connectivity: </w:t>
      </w:r>
      <w:r>
        <w:rPr>
          <w:rFonts w:ascii="Arial" w:hAnsi="Arial"/>
          <w:color w:val="2D3748"/>
          <w:sz w:val="20"/>
        </w:rPr>
        <w:t>Dealership showrooms and workshops connect over HTTPS (Port 443) through WAF. Biometric devices communicate via outbound HTTPS/MQTT or WireGuard/IPsec gateway. Optional Site-to-Site IPsec VPN to central DMS/SAP servers.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Security &amp; WAF: </w:t>
      </w:r>
      <w:r>
        <w:rPr>
          <w:rFonts w:ascii="Arial" w:hAnsi="Arial"/>
          <w:color w:val="2D3748"/>
          <w:sz w:val="20"/>
        </w:rPr>
        <w:t>Layer 7 Load Balancer + Web Application Firewall (OWASP Top 10, bot protection, geo-fencing to India regions, 30 req/sec rate limit per IP). Strict 3-tier network segmentation (Public DMZ -&gt; Private App Subnet -&gt; Isolated DB Subnet).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8. Hosting Bill of Materials (BOM)</w:t>
      </w:r>
    </w:p>
    <w:p>
      <w:pPr>
        <w:keepNext/>
        <w:spacing w:before="200" w:after="80"/>
      </w:pPr>
      <w:r>
        <w:rPr>
          <w:rFonts w:ascii="Arial" w:hAnsi="Arial"/>
          <w:b/>
          <w:color w:val="2B6CB0"/>
          <w:sz w:val="24"/>
        </w:rPr>
        <w:t>Option A: Cloud IaaS (AWS / Azure / GCP)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  <w:tblCellMar>
          <w:top w:w="120" w:type="dxa"/>
          <w:bottom w:w="120" w:type="dxa"/>
          <w:left w:w="140" w:type="dxa"/>
          <w:right w:w="14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2592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Instance Spec</w:t>
            </w:r>
          </w:p>
        </w:tc>
        <w:tc>
          <w:tcPr>
            <w:tcW w:type="dxa" w:w="2592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Resources</w:t>
            </w:r>
          </w:p>
        </w:tc>
        <w:tc>
          <w:tcPr>
            <w:tcW w:type="dxa" w:w="2592"/>
            <w:shd w:fill="1A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Workload Purpose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Ingress &amp; Cache Tier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 × t4g.xlarge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 vCPU, 16 GB RAM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Nginx gateway &amp; Redis caching</w:t>
            </w:r>
          </w:p>
        </w:tc>
      </w:tr>
      <w:tr>
        <w:tc>
          <w:tcPr>
            <w:tcW w:type="dxa" w:w="230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App Cluster Nodes (K8s)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 × m6g.2xlarge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8 vCPU, 32 GB RAM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Hosts all 13 backend &amp; frontend containers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Database Cluster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1 × db.m6g.2xlarge (Multi-AZ)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8 vCPU, 32 GB RAM, 1TB NVMe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High-availability PostgreSQL 18</w:t>
            </w:r>
          </w:p>
        </w:tc>
      </w:tr>
      <w:tr>
        <w:tc>
          <w:tcPr>
            <w:tcW w:type="dxa" w:w="2304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RabbitMQ &amp; Keycloak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2 × m6g.xlarge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4 vCPU, 16 GB RAM</w:t>
            </w:r>
          </w:p>
        </w:tc>
        <w:tc>
          <w:tcPr>
            <w:tcW w:type="dxa" w:w="2592"/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Clustered identity and event broker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Object Storage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AWS S3 / Azure Blob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3 – 5 TB Storage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8"/>
              </w:rPr>
              <w:t>Encrypted document &amp; image storage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Arial" w:hAnsi="Arial"/>
          <w:b/>
          <w:color w:val="2B6CB0"/>
          <w:sz w:val="24"/>
        </w:rPr>
        <w:t>Option B: On-Premise / Private Data Center (Bare-Metal Proxmox / ESXi)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Server Node 01 (Compute Master): </w:t>
      </w:r>
      <w:r>
        <w:rPr>
          <w:rFonts w:ascii="Arial" w:hAnsi="Arial"/>
          <w:color w:val="2D3748"/>
          <w:sz w:val="20"/>
        </w:rPr>
        <w:t>32 Cores (AMD EPYC / Intel Xeon Silver), 128 GB RAM, 2× 1TB NVMe (RAID 1) - Ingress, Keycloak, RabbitMQ, Core services.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Server Node 02 (Worker Node &amp; HA Standby): </w:t>
      </w:r>
      <w:r>
        <w:rPr>
          <w:rFonts w:ascii="Arial" w:hAnsi="Arial"/>
          <w:color w:val="2D3748"/>
          <w:sz w:val="20"/>
        </w:rPr>
        <w:t>32 Cores, 128 GB RAM, 2× 1TB NVMe (RAID 1) - Hosts the 10+ Domain Application containers with auto-failover.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Server Node 03 (Database &amp; Object Storage): </w:t>
      </w:r>
      <w:r>
        <w:rPr>
          <w:rFonts w:ascii="Arial" w:hAnsi="Arial"/>
          <w:color w:val="2D3748"/>
          <w:sz w:val="20"/>
        </w:rPr>
        <w:t>16 Cores, 64 GB RAM, 4× 2TB Enterprise NVMe (RAID 10) + 12TB SATA HDD - Dedicated HA PostgreSQL database and MinIO object storage.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