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7 August 2026   •   Vol. I — Edition 017</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[HIGH]  </w:t>
      </w:r>
      <w:r>
        <w:rPr>
          <w:rFonts w:ascii="Calibri" w:cs="Calibri" w:eastAsia="Calibri" w:hAnsi="Calibri"/>
          <w:color w:val="1A1A1A"/>
          <w:sz w:val="19"/>
          <w:szCs w:val="19"/>
        </w:rPr>
        <w:t xml:space="preserve">GBA now has a concrete transition date — it formally replaces BBMP from 2 September 2026, with Maheshwar Rao named as the incoming commissioner — the first firm milestone since the Supreme Court's 30 June completion deadline passed without a confirmed poll date.</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Sumadhura Group has signed a fresh JDA — ₹3,500 Cr GDV, 17 acres on the Whitefield-Kannamangala corridor, 2.5+ msf saleable (announced 4 Aug) — its second major East Bengaluru land move flagged in this digest inside two weeks, on top of its ~₹5,000 Cr 3-year Sumadhura Infracon investment plan.</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Both neighbouring-state RERAs are in flux simultaneously: TNRERA is running under a 6-month interim panel after its chairperson and two members resigned (from 14 Jul), while Telangana HC's HYDRAA-commissioner removal order is now facing public protest and a Chief Minister pledging the agency's anti-encroachment drive continues regardless.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NBR-specific news; Karnataka's 2026 Land Reforms amendment further softens non-agricultural land-use penalties (3-year jail term + fine replaced by a flat ₹1 lakh civil fine), and the B-Khata→A-Khata window closes in just over two weeks (23 Aug).</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revised the corridor's land-use plan: the road itself stays at 65m width (matching the Bengaluru-Mysuru highway), but a further 35m strip once earmarked for commercial acquisition is now being handed BACK to farmers rather than acquired — shrinking the total acquisition footprint versus the plan on file. A fresh 2-month public-objection window has been opened, and over 1,000 objections have already been submitted from farmers across the 74 km stretch on both legality and compensation grounds. This sits alongside the ~₹8,385/sq ft commercial-plot compensation rate and ₹2.50–15.60 Cr/acre residential range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the most tangible pro-landowner concession on the corridor to date — a genuine reduction in acquisition footprint, not just a compensation-rate adjustment. Re-run any BBC-adjacent parcel economics assuming a narrower final acquisition width, but continue tracking the objection window (2 months from opening) before treating the revised plan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further JDA — ₹1,300 Cr, 4 acres on Hennur Road, North Bengaluru, 0.84 msf saleable, launch targeted within 12 months — its sixth-plus fresh Bengaluru land move on file, alongside the SICL third-party construction contracts (Sattva AANGANE ₹311.18 Cr, Embassy Eden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~124 acres across 7 recent land deals; new ₹1,300 Cr / 4-acre Hennur Road JDA;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a new land move roughly every few editions, on top of its construction-services diversification through SICL.</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BDA's BBC land-use revision (65m road, 35m strip returned to farmers) remains the strongest pro-landowner signal on this corridor — continue re-running BBC-adjacent parcel economics on a narrower acquisition footprint, but hold off treating it as final until the 2-month objection window closes.</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over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The softened Land Reforms penalty (jail term replaced by a flat ₹1 lakh civil fine for unconverted non-agricultural use) lowers personal-liability stakes for NBR's own land team, but also lowers the deterrent for informal conversions by smaller landholders NBR may be acquiring from — factor this into title/conversion-history diligence on outstation parcels.</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Sumadhura's second East Bengaluru land move in two weeks (₹3,500 Cr / 17-acre Whitefield-Kannamangala JDA, on top of its ~₹5,000 Cr 3-year investment plan) confirms it has stepped up from the smaller-launch pattern tracked earlier — reassess whether NBR's mid-tier competitive tiering still reflects Sumadhura's actual scale.</w:t>
      </w:r>
    </w:p>
    <w:p>
      <w:pPr>
        <w:pStyle w:val="ListParagraph"/>
        <w:numPr>
          <w:ilvl w:val="0"/>
          <w:numId w:val="2"/>
        </w:numPr>
        <w:spacing w:after="90"/>
      </w:pPr>
      <w:r>
        <w:rPr>
          <w:rFonts w:ascii="Calibri" w:cs="Calibri" w:eastAsia="Calibri" w:hAnsi="Calibri"/>
          <w:color w:val="1A1A1A"/>
          <w:sz w:val="19"/>
          <w:szCs w:val="19"/>
        </w:rPr>
        <w:t xml:space="preserve">Puravankara's ₹1,300 Cr Hennur Road JDA remains the most recent of its sixth-plus fresh Bengaluru land moves tracked in this digest — still the benchmark for the most consistently acquisitive Grade A peer.</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has been thrown into a governance vacuum: its chairperson and two members resigned, and the state government has installed a three-member interim panel (K. Phanindra Reddy — retired IAS, chairperson; A. Nazir Ahamed — retired district judge; Reeta Harish Thakkar — retired IAS) to run the Authority for 6 months from 14 Jul 2026. This sits alongside the Jan 2026 guideline-value revision (OMR/ECR/GST Road corridors) and 11% all-in stamp duty + registration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regulator running on an interim panel — even a credentialed one — is a genuine governance-continuity risk if NBR ever pursues a Chennai entry or JV; treat any TNRERA approval or registration sought during this 6-month window as subject to extra follow-up once permanent leadership is restored.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HC's 1 Aug 2026 order directing HYDRAA Commissioner Ranganath's removal is now facing real political friction: Hyderabad residents have staged public protests against the order in support of Ranganath, and Chief Minister Revanth Reddy has stated HYDRAA's anti-encroachment drive will continue regardless of the leadership question. Separately, the cash-strapped state government is now planning to auction eligible HYDRAA-reclaimed government land (excluding lakes/ponds) via HMDA and TGIIC to raise revenue.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 order is being actively contested in the court of public opinion, not just quietly implemented — NBR should not yet assume a softer or harsher HYDRAA posture either way. The land-monetisation plan is a new, distinct signal: government land freed up by HYDRAA enforcement may become available via HMDA/TGIIC auction, a potential Hyderabad-entry channel worth tracking if that market is ever on NBR's roadmap.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The HYDRAA-commissioner removal order is now facing active public pushback and an explicit CM pledge that enforcement continues regardless — treat Hyderabad's regulatory posture as unsettled rather than assume either a softer or harsher outcome; revisit once the political standoff resolves.</w:t>
      </w:r>
    </w:p>
    <w:p>
      <w:pPr>
        <w:pStyle w:val="ListParagraph"/>
        <w:numPr>
          <w:ilvl w:val="0"/>
          <w:numId w:val="2"/>
        </w:numPr>
        <w:spacing w:after="90"/>
      </w:pPr>
      <w:r>
        <w:rPr>
          <w:rFonts w:ascii="Calibri" w:cs="Calibri" w:eastAsia="Calibri" w:hAnsi="Calibri"/>
          <w:color w:val="1A1A1A"/>
          <w:sz w:val="19"/>
          <w:szCs w:val="19"/>
        </w:rPr>
        <w:t xml:space="preserve">Telangana's plan to auction HYDRAA-reclaimed government land via HMDA/TGIIC is a new, distinct signal worth tracking — it could become a future entry channel into Hyderabad if that market is ever on NBR's roadmap, separate from the leadership question.</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 is now operating under a 6-month interim panel (from 14 Jul 2026) after its chairperson and two members resigned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7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2026-08-07T03:37:42.818Z</dcterms:created>
  <dcterms:modified xsi:type="dcterms:W3CDTF">2026-08-07T03:37:42.832Z</dcterms:modified>
</cp:coreProperties>
</file>

<file path=docProps/custom.xml><?xml version="1.0" encoding="utf-8"?>
<Properties xmlns="http://schemas.openxmlformats.org/officeDocument/2006/custom-properties" xmlns:vt="http://schemas.openxmlformats.org/officeDocument/2006/docPropsVTypes"/>
</file>