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Sunday, 13 September 2026   •   Vol. I — Edition 047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 (10 Sept 2026) allowed a private criminal complaint alleging irregularities in a 2014 BDA civic-amenity-site allotment (Devarachikkanahalli, BTM Layout — a trust where members of Congress president Mallikarjun Kharge's family are trustees) to proceed, after setting aside a trial-court order that had halted it on a curable affidavit-verification defect. This is a procedural ruling permitting the complaint to advance — not a fraud finding — and is reported neutrally here as a further data point in BDA's land-allotment scrutiny pattern, distinct in seriousness from the Hebbal CBI-probe ruling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land ruling directly on point beyond the above,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Sulikere Transport Hub — CLU to Residential Flagged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notified a change of land use converting 17.49 acres in Sulikere, off Mysuru Road (western Bengaluru), from its originally-notified transport-hub purpose to residential use — Deccan Herald reports 49 residential sites had reportedly already been formed on part of the land years ago without the mandatory state government approval, raising the question of whether BDA itself bypassed its own planning/approval process on a project it controls.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BDA's own land dealings drawing scrutiny (alongside Hebbal KIADB fraud, D.B. Chandregowda favouritism and other entries already on file) — reinforces that NBR should independently verify the ORIGINAL notified purpose and approval trail of any BDA-sourced site, not just its current land-use classification, since a site's residential status may itself rest on an unauthorised conversion.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Siddhartha Vihar Trust — BDA Civic-Amenity-Site Complaint Allowed to Proceed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(10 Sept 2026) set aside a trial-court order that had halted a private criminal complaint over a 2014 BDA civic-amenity-site allotment in Devarachikkanahalli, BTM Layout (to a trust on whose board members of Congress president Mallikarjun Kharge's family sit), on the ground that the complainant's accompanying affidavit had a curable verification defect. The Court directed the complainant be given an opportunity to cure the defect, after which the trial court is to consider the matter afresh under the statutory procedure for seeking investigation. This is a procedural ruling permitting the complaint to advance — the Court has not made any finding of fraud or wrongdoing.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lower-severity data point in the pattern of scrutiny on BDA's own land-allotment decisions (alongside Hebbal, D.B. Chandregowda and others already on file) — reported factually given its procedural (not substantive) posture; NBR should note the pattern without treating this specific matter as any kind of precedent yet, since no finding on the merits has been made.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pStyle w:val="ListParagraph"/>
        <w:numPr>
          <w:ilvl w:val="0"/>
          <w:numId w:val="2"/>
        </w:numPr>
        <w:spacing w:after="90"/>
      </w:pPr>
      <w:r>
        <w:rPr>
          <w:rFonts w:ascii="Calibri" w:cs="Calibri" w:eastAsia="Calibri" w:hAnsi="Calibri"/>
          <w:color w:val="1A1A1A"/>
          <w:sz w:val="19"/>
          <w:szCs w:val="19"/>
        </w:rPr>
        <w:t xml:space="preserve">The Sulikere transport-hub-to-residential CLU episode is a reminder to verify a BDA site's ORIGINAL notified purpose and approval trail, not just its current land-use classification — a residential site's status may itself rest on an unauthorised conversion that could later be challenged.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Deccan Herald — Sulikere transport-hub-to-residential CLU (17.49 acres, Mysuru Road) coverage</w:t>
      </w:r>
    </w:p>
    <w:p>
      <w:pPr>
        <w:pStyle w:val="ListParagraph"/>
        <w:numPr>
          <w:ilvl w:val="0"/>
          <w:numId w:val="2"/>
        </w:numPr>
        <w:spacing w:after="90"/>
      </w:pPr>
      <w:r>
        <w:rPr>
          <w:rFonts w:ascii="Calibri" w:cs="Calibri" w:eastAsia="Calibri" w:hAnsi="Calibri"/>
          <w:color w:val="444444"/>
          <w:sz w:val="17"/>
          <w:szCs w:val="17"/>
        </w:rPr>
        <w:t xml:space="preserve">India Legal / Law Trend — Karnataka HC ruling on Siddhartha Vihar Trust BDA civic-amenity-site complaint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Sunday, 13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2026-09-13T03:34:38.872Z</dcterms:created>
  <dcterms:modified xsi:type="dcterms:W3CDTF">2026-09-13T03:34:38.884Z</dcterms:modified>
</cp:coreProperties>
</file>

<file path=docProps/custom.xml><?xml version="1.0" encoding="utf-8"?>
<Properties xmlns="http://schemas.openxmlformats.org/officeDocument/2006/custom-properties" xmlns:vt="http://schemas.openxmlformats.org/officeDocument/2006/docPropsVTypes"/>
</file>