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Wednesday, 2 September 2026   •   Vol. I — Edition 037</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TODAY, the Greater Bengaluru Authority formally replaces BBMP. Leadership is now confirmed: Chief Minister Siddaramaiah is GBA Chairperson, Deputy CM D.K. Shivakumar is Vice-Chairperson, and M. Maheshwar Rao (outgoing BBMP Chief Commissioner) is GBA Chief Commissioner &amp; Member-Secretary. Bengaluru is now formally split into 5 city corporations — Central (Hudson Circle), North (Yelahanka), East (Mahadevapura), West (RR Nagar) and South (Jayanagar). Confirm all time-sensitive NBR khata/tax/approval filings are routed to the correct corporation from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Karnataka HC (Justice M. Nagaprasanna, Amit Garg v. Karnataka RERA) has held that the K-RERA Registry has no power to decide a complaint's maintainability by email — only Tribunal/Authority members can adjudicate that question; the Court quashed an email rejection and restored the complaint for proper hearing. A useful procedural safeguard against future Registry-level dismissals, newly surfaced in this digest's research.</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new Grade A/mid-tier Bengaluru land deal since Puravankara's Electronic City JDA and Brigade's Whitefield buy, no public BDA response to the BBC Governor petition,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has taken effect TODAY (2 September 2026): GBA formally replaces BBMP, with CM Siddaramaiah as Chairperson, Deputy CM D.K. Shivakumar as Vice-Chairperson, and M. Maheshwar Rao (outgoing BBMP Chief Commissioner) as GBA Chief Commissioner &amp; Member-Secretary. Bengaluru is now formally split into 5 city corporations — Central (Hudson Circle HQ), North (Yelahanka), East (Mahadevapura), West (RR Nagar) and South (Jayanagar) — with GBA as the pan-city coordinating body. Civic ELECTIONS remain on a separate, later track — the Supreme Court extended the poll deadline from 31 August to 31 December 2026, citing the ongoing Special Intensive Revision (SIR) of electoral rolls (concluding only by November). Karnataka BJP has a separate SC plea alleging the state government deliberately delayed polls fearing electoral loss.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With the handover now in effect, confirm every time-sensitive NBR khata/tax/approval filing is routed to the correct one of the 5 new corporations by micro-market (Central/North/East/West/South) — misrouting during this transition week is the most immediate operational risk. Elected local governance (and any associated policy shifts) remains unsettled until at least December 2026 — a materially longer governance-uncertainty window than originally assumed. The BJP's political challenge adds a layer of uncertainty to whether even the December deadline holds.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7-storey building collapse in Anjaiah Nagar, Gachibowli killed 2 workers, prompting Commissioner Ranganath to order identification and demolition of unsafe buildings citywide — notable because this building-safety drive is proceeding even while the Telangana HC's broader SOP-conditioned restraint on HYDRAA's encroachment-linked demolitions remains in force, suggesting the two enforcement tracks (structural safety vs. encroachment) are being treated as legally distinct. This layers onto the ₹72 Cr HYDRAA funding tranche, Ranganath's public land-mafia allegations (Lothukunta case), the G.O.Ms.No.218 HMDA TDR geographic-flexibility amendment, TG RERA's realtor penalties, the removal-order appeal,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building-safety drive proceeding in parallel with the demolition restraint is a useful clarification: HYDRAA's enforcement posture is not uniformly paused — a structural-safety hazard can still trigger immediate demolition action distinct from the encroachment-enforcement track courts have restrained. NBR should not assume any HYDRAA-adjacent Hyderabad asset is fully insulated from action merely because the encroachment-demolition SOP is still pending.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Wednesday, 2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2026-09-02T03:34:46.460Z</dcterms:created>
  <dcterms:modified xsi:type="dcterms:W3CDTF">2026-09-02T03:34:46.476Z</dcterms:modified>
</cp:coreProperties>
</file>

<file path=docProps/custom.xml><?xml version="1.0" encoding="utf-8"?>
<Properties xmlns="http://schemas.openxmlformats.org/officeDocument/2006/custom-properties" xmlns:vt="http://schemas.openxmlformats.org/officeDocument/2006/docPropsVTypes"/>
</file>