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2 August 2026   •   Vol. I — Edition 012</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1E7B34"/>
          <w:sz w:val="19"/>
          <w:szCs w:val="19"/>
        </w:rPr>
        <w:t xml:space="preserve">[HIGH]  </w:t>
      </w:r>
      <w:r>
        <w:rPr>
          <w:rFonts w:ascii="Calibri" w:cs="Calibri" w:eastAsia="Calibri" w:hAnsi="Calibri"/>
          <w:color w:val="1A1A1A"/>
          <w:sz w:val="19"/>
          <w:szCs w:val="19"/>
        </w:rPr>
        <w:t xml:space="preserve">The Telangana HC has now gone from asking the Chief Secretary to consider replacing HYDRAA Commissioner Ranganath to directly ORDERING his removal (1 Aug 2026) over repeat contemptuous violations of court orders — the clearest resolution yet of the escalating judicial-versus-HYDRAA saga tracked in this digest all week.</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BBC landowner consultations are now structured through 8 committees led by land acquisition officers across 18 locations — a more granular operational picture than the "four Deputy Commissioners" reported yesterday, suggesting a larger-than-expected administrative push to close out Phase 1.</w:t>
      </w:r>
    </w:p>
    <w:p>
      <w:pPr>
        <w:spacing w:after="130"/>
      </w:pPr>
      <w:r>
        <w:rPr>
          <w:rFonts w:ascii="Calibri" w:cs="Calibri" w:eastAsia="Calibri" w:hAnsi="Calibri"/>
          <w:b/>
          <w:bCs/>
          <w:color w:val="A3121B"/>
          <w:sz w:val="19"/>
          <w:szCs w:val="19"/>
        </w:rPr>
        <w:t xml:space="preserve">[WATCH]  </w:t>
      </w:r>
      <w:r>
        <w:rPr>
          <w:rFonts w:ascii="Calibri" w:cs="Calibri" w:eastAsia="Calibri" w:hAnsi="Calibri"/>
          <w:color w:val="1A1A1A"/>
          <w:sz w:val="19"/>
          <w:szCs w:val="19"/>
        </w:rPr>
        <w:t xml:space="preserve">Deccan Herald reports the BDA's rapid e-auction pace (a third bulk-land auction in quick succession, following a record ₹2,097 Cr first round) is now "raising policy concerns" — a critical framing worth weighing alongside the purely opportunistic read on BDA site availability this digest has carried.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Karnataka RERA Appellate Tribunal (KREAT, Mar 2026) separately classified BDA itself as a "promoter" under RERA and ordered it to register the Nadaprabhu Kempegowda Layout project — the ruling BDA is challenging via the pre-2016-acquisition stay flagged yesterday. The two rulings pull in opposite directions and the net position remains unsettled.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NBR-specific news, fresh Grade A/mid-tier land deals, or guidance-value gazette notification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overturned a K-RERA order that applied a delay fee retroactively.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Landowner consultations are now running through 8 committees led by land acquisition officers across 18 locations — a larger operational structure than the "four Deputy Commissioners" reported yesterday, reinforcing that Phase 1 (1,810 acres) closeout is a major administrative push, not a token gesture. This builds on consent letters already arriving, published village-wise compensation (₹2.50–15.60 Cr/acre), the 40%-residential-plot offer, and the court-deposit-and-proceed construction plan (SNC as L1 bidder) already on file. The Section 27/Madavara legal challenges remain unresolved in parallel.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8-committee/18-location structure confirms the state is treating Phase 1 closeout as a priority operational campaign — NBR's BBC-alignment land-banking survey should treat near-term completion of Phase 1 land acquisition as increasingly likely, while the underlying legal challenge remains the key residual uncertainty to track.</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Overturned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overturned a K-RERA order that had applied a possession-delay fee retroactively against a developer, finding the retroactive application impermissible.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developer-favourable precedent worth keeping on file — if K-RERA ever calculates a delay fee against an NBR project reaching back further than the relevant trigger date, this ruling supports challenging the retroactive portion of the calculation.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20.19-acre Whitefield-Hoskote parcel (₹588.33 Cr, via Ananthay Properties) is now confirmed as a ₹5,200 Cr GDV mixed-use development spanning 4.2 msf of residential, commercial and retail space — on top of the Malur plotted development, Prestige JV on Old Madras Road, and Gunjur JDA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~121 acres FY26; Whitefield-Hoskote alone now valued at ₹5,200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scale-up from a land-cost figure (₹588 Cr) to a full project GDV (₹5,200 Cr) shows Brigade's Whitefield-Hoskote play is a major mixed-use bet, not just a land banking move — a useful reminder to track GDV, not just acquisition cost, when sizing up peer moves.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Going vertical with a ₹250 Cr project comprising 297 apartments across two slender 28-floor towers, on top of the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₹250 Cr twin-tower (28-floor) project;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8-committee/18-location BBC consultation structure signals near-term completion of Phase 1 land acquisition is a real possibility, not just an aspiration — revisit NBR's BBC-alignment land-banking survey timeline assumptions accordingly.</w:t>
      </w:r>
    </w:p>
    <w:p>
      <w:pPr>
        <w:pStyle w:val="ListParagraph"/>
        <w:numPr>
          <w:ilvl w:val="0"/>
          <w:numId w:val="2"/>
        </w:numPr>
        <w:spacing w:after="90"/>
      </w:pPr>
      <w:r>
        <w:rPr>
          <w:rFonts w:ascii="Calibri" w:cs="Calibri" w:eastAsia="Calibri" w:hAnsi="Calibri"/>
          <w:color w:val="1A1A1A"/>
          <w:sz w:val="19"/>
          <w:szCs w:val="19"/>
        </w:rPr>
        <w:t xml:space="preserve">Note the emerging critical commentary on BDA's rapid e-auction cadence ("raising policy concerns") alongside the commercial opportunity already on file — factor a chance of slower future auction cadence or added scrutiny into any multi-round BDA site-acquisition strategy.</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Treat BDA's RERA-promoter status as an open legal question, not a settled one — KREAT ruled BDA IS a promoter (must register layouts like NPKL), while a separate HC stay favours BDA on pre-2016 acquisitions; watch for the HC's final ruling before relying on either outcome for any NBR project involving BDA-acquired land.</w:t>
      </w:r>
    </w:p>
    <w:p>
      <w:pPr>
        <w:pStyle w:val="ListParagraph"/>
        <w:numPr>
          <w:ilvl w:val="0"/>
          <w:numId w:val="2"/>
        </w:numPr>
        <w:spacing w:after="90"/>
      </w:pPr>
      <w:r>
        <w:rPr>
          <w:rFonts w:ascii="Calibri" w:cs="Calibri" w:eastAsia="Calibri" w:hAnsi="Calibri"/>
          <w:color w:val="1A1A1A"/>
          <w:sz w:val="19"/>
          <w:szCs w:val="19"/>
        </w:rPr>
        <w:t xml:space="preserve">The civil-court-execution ruling confirms K-RERA orders can only be enforced via the revenue-recovery-certificate route (now subject to the 8-week mandate already on file) — useful clarity on the realistic enforcement pathway and timeline for any future adverse order.</w:t>
      </w:r>
    </w:p>
    <w:p>
      <w:pPr>
        <w:pStyle w:val="ListParagraph"/>
        <w:numPr>
          <w:ilvl w:val="0"/>
          <w:numId w:val="2"/>
        </w:numPr>
        <w:spacing w:after="90"/>
      </w:pPr>
      <w:r>
        <w:rPr>
          <w:rFonts w:ascii="Calibri" w:cs="Calibri" w:eastAsia="Calibri" w:hAnsi="Calibri"/>
          <w:color w:val="1A1A1A"/>
          <w:sz w:val="19"/>
          <w:szCs w:val="19"/>
        </w:rPr>
        <w:t xml:space="preserve">The NICE/BMICP ruling (29 Jul) and the Thalaghattapura BMICP quashings together show a documented pattern of Karnataka courts striking down old, dormant land acquisitions — extend legal-team review to any NBR parcel history involving a decades-old, never-executed acquisition notation.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Prestige's self-funded flyover approval and Puravankara's cross-developer construction-arm role (SICL working for both Embassy and Sattva) both show Grade A peers finding creative structures to unlock value or capacity beyond simple land acquisition — worth a standing watch item for alternative deal structures NBR could adapt.</w:t>
      </w:r>
    </w:p>
    <w:p>
      <w:pPr>
        <w:pStyle w:val="ListParagraph"/>
        <w:numPr>
          <w:ilvl w:val="0"/>
          <w:numId w:val="2"/>
        </w:numPr>
        <w:spacing w:after="90"/>
      </w:pPr>
      <w:r>
        <w:rPr>
          <w:rFonts w:ascii="Calibri" w:cs="Calibri" w:eastAsia="Calibri" w:hAnsi="Calibri"/>
          <w:color w:val="1A1A1A"/>
          <w:sz w:val="19"/>
          <w:szCs w:val="19"/>
        </w:rPr>
        <w:t xml:space="preserve">Adarsh Developers' ₹1,600 Cr+ funding raise and Sumadhura's move into 28-floor towers both show mid-tier peers scaling up ambition — reassess whether NBR's own mid-tier competitive set is still an accurate description of these peers' trajectories.</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moved from asking the Chief Secretary to consider replacing HYDRAA Commissioner Ranganath to directly ORDERING his removal (1 Aug 2026) over repeat contemptuous violations of court orders — the clearest resolution yet of the week-long escalation, against a backdrop of Hyderabad's 14% YoY residential registration decline (Jan 2026) and the HC's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removal order is a more concrete governance outcome than the ambiguous "replacement request" reported earlier this week — NBR should watch for the successor's enforcement posture, as a leadership change could shift HYDRAA's approach (for better or worse) on any Hyderabad parcel under diligence.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commissioner has now been formally ordered removed — a genuine governance reset for Hyderabad's enforcement posture, though direction (stricter or laxer under new leadership) is not yet known; hold off recalibrating Hyderabad risk assumptions until the successor's approach becomes clear.</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regardless of HYDRAA's leadership — institutional risk outlasts any single commissioner.</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2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2026-08-02T03:36:41.923Z</dcterms:created>
  <dcterms:modified xsi:type="dcterms:W3CDTF">2026-08-02T03:36:41.945Z</dcterms:modified>
</cp:coreProperties>
</file>

<file path=docProps/custom.xml><?xml version="1.0" encoding="utf-8"?>
<Properties xmlns="http://schemas.openxmlformats.org/officeDocument/2006/custom-properties" xmlns:vt="http://schemas.openxmlformats.org/officeDocument/2006/docPropsVTypes"/>
</file>