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5 August 2026   •   Vol. I — Edition 015</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Yesterday's BDA favouritism finding is now identified: Karnataka HC nullified a 2010 BDA site allotment to the daughter of former MP D.B. Chandregowda, ruling it illegal and a product of political favouritism that violated mandatory eligibility rules — concrete detail behind what was a general finding in the last edition.</w:t>
      </w:r>
    </w:p>
    <w:p>
      <w:pPr>
        <w:spacing w:after="130"/>
      </w:pPr>
      <w:r>
        <w:rPr>
          <w:rFonts w:ascii="Calibri" w:cs="Calibri" w:eastAsia="Calibri" w:hAnsi="Calibri"/>
          <w:b/>
          <w:bCs/>
          <w:color w:val="A3121B"/>
          <w:sz w:val="19"/>
          <w:szCs w:val="19"/>
        </w:rPr>
        <w:t xml:space="preserve">[WATCH]  </w:t>
      </w:r>
      <w:r>
        <w:rPr>
          <w:rFonts w:ascii="Calibri" w:cs="Calibri" w:eastAsia="Calibri" w:hAnsi="Calibri"/>
          <w:color w:val="1A1A1A"/>
          <w:sz w:val="19"/>
          <w:szCs w:val="19"/>
        </w:rPr>
        <w:t xml:space="preserve">In a separate, unrelated case, Karnataka HC annulled a 2001/2004 BDA land acquisition in North Bengaluru as "bad in law," finding BDA had abandoned the scheme and failed to complete it within the mandated timeframe — yet another entry in the pattern of dormant/abandoned BDA acquisitions being struck down.</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Casagrand is launching a new luxury residential project directly on Sarjapur Road — the latest peer (after Puravankara, Godrej, Adarsh, Assetz) to enter NBR's core home corridor in the roughly two weeks this digest has been tracking it.</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Salarpuria Sattva has launched a 50-acre, 2,500-unit housing township in North Bengaluru targeting ₹8,600 Cr revenue, and Sumadhura Infracon has announced a ~₹5,000 Cr (₹50 billion) three-year investment plan — both signal a step-change in scale from names this digest has tracked mostly on smaller individual launches.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 HC separately dismissed a challenge to a decades-old BDA acquisition filed 53 years after the fact — a useful counter-example showing extreme delay can defeat a PETITIONER's case just as it can defeat the acquiring authority's, depending on the facts.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Commercial-plot compensation has now been set at ~₹8,385/sq ft, adding precision to the ₹2.50–15.60 Cr/acre residential compensation range already on file. This sits alongside the contested picture already on file: real administrative momentum (8-committee/18-location consultation structure, the new Addl. Chief Secretary-chaired deadlock committee) against continued farmer resistance to negotiated settlement. Package 1 (19.80 km, ₹3,348 Cr) drew bids from Shankara Narayana Constructions ("SNC") and Vishwa Samudra Engineering.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commercial-plot rate (~₹8,385/sq ft) gives NBR a concrete benchmark for valuing any TDR/commercial-plot compensation option along the corridor — factor it into land-banking survey economics alongside the residential range already on file.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Group entity Sumadhura Infracon has announced a ~₹5,000 Cr (₹50 billion) investment plan over the next three years — a step-change beyond the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Casagrand's new Sarjapur Road luxury launch is the fourth-plus Grade A/mid-tier entrant this digest has flagged inside NBR's home corridor in two weeks (after Puravankara, Godrej, Adarsh, Assetz) — this pace of entry should now factor into near-term pricing and launch-timing decisions on any NBR Sarjapur project, not just be logged as a watch item.</w:t>
      </w:r>
    </w:p>
    <w:p>
      <w:pPr>
        <w:pStyle w:val="ListParagraph"/>
        <w:numPr>
          <w:ilvl w:val="0"/>
          <w:numId w:val="2"/>
        </w:numPr>
        <w:spacing w:after="90"/>
      </w:pPr>
      <w:r>
        <w:rPr>
          <w:rFonts w:ascii="Calibri" w:cs="Calibri" w:eastAsia="Calibri" w:hAnsi="Calibri"/>
          <w:color w:val="1A1A1A"/>
          <w:sz w:val="19"/>
          <w:szCs w:val="19"/>
        </w:rPr>
        <w:t xml:space="preserve">Model BBC Phase 1 completion on TWO scenarios, not one — an optimistic near-term-completion case and a pessimistic continued-standoff case — rather than treating recent momentum signals as a settled trajectory.</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D.B. Chandregowda allotment-cancellation detail confirms BDA favouritism findings can reach back over a decade (2010 allotment cancelled in 2026) — independently verify the beneficiary-eligibility basis, not just the bid/allotment paperwork, on any BDA-sourced site NBR evaluates.</w:t>
      </w:r>
    </w:p>
    <w:p>
      <w:pPr>
        <w:pStyle w:val="ListParagraph"/>
        <w:numPr>
          <w:ilvl w:val="0"/>
          <w:numId w:val="2"/>
        </w:numPr>
        <w:spacing w:after="90"/>
      </w:pPr>
      <w:r>
        <w:rPr>
          <w:rFonts w:ascii="Calibri" w:cs="Calibri" w:eastAsia="Calibri" w:hAnsi="Calibri"/>
          <w:color w:val="1A1A1A"/>
          <w:sz w:val="19"/>
          <w:szCs w:val="19"/>
        </w:rPr>
        <w:t xml:space="preserve">The new 2001/2004 BDA acquisition annulment adds to a now well-documented pattern (NICE/BMICP, Hosahalli) of Karnataka courts striking down dormant/abandoned acquisitions — but the 53-years-later dismissal is a reminder the pattern isn't unconditional: outcomes turn on WHO caused the delay and why, not delay alone.</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Sattva's 50-acre/₹8,600 Cr township and Sumadhura Infracon's ~₹5,000 Cr 3-year investment plan both mark a step-change from smaller individual launches previously tracked — reassess whether NBR's Grade A/mid-tier competitive tiering still reflects these two peers' actual scale.</w:t>
      </w:r>
    </w:p>
    <w:p>
      <w:pPr>
        <w:pStyle w:val="ListParagraph"/>
        <w:numPr>
          <w:ilvl w:val="0"/>
          <w:numId w:val="2"/>
        </w:numPr>
        <w:spacing w:after="90"/>
      </w:pPr>
      <w:r>
        <w:rPr>
          <w:rFonts w:ascii="Calibri" w:cs="Calibri" w:eastAsia="Calibri" w:hAnsi="Calibri"/>
          <w:color w:val="1A1A1A"/>
          <w:sz w:val="19"/>
          <w:szCs w:val="19"/>
        </w:rPr>
        <w:t xml:space="preserve">Brigade's spread across South (Kanakapura Road), East (Whitefield-Hoskote) and outer (Malur) Bengaluru shows a broader simultaneous multi-corridor push than most peers — track where this pattern points next, since it suggests Brigade is not committed to any single micro-market the way NBR is to Sarjapur.</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moved from asking the Chief Secretary to consider replacing HYDRAA Commissioner Ranganath to directly ORDERING his removal (1 Aug 2026) over repeat contemptuous violations of court orders — the clearest resolution yet of the week-long escalation, against a backdrop of Hyderabad's 14% YoY residential registration decline (Jan 2026) and the HC's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removal order is a more concrete governance outcome than the ambiguous "replacement request" reported earlier this week — NBR should watch for the successor's enforcement posture, as a leadership change could shift HYDRAA's approach (for better or worse) on any Hyderabad parcel under diligence.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commissioner has now been formally ordered removed — a genuine governance reset for Hyderabad's enforcement posture, though direction (stricter or laxer under new leadership) is not yet known; hold off recalibrating Hyderabad risk assumptions until the successor's approach becomes clear.</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regardless of HYDRAA's leadership — institutional risk outlasts any single commissioner.</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5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2026-08-05T03:37:49.894Z</dcterms:created>
  <dcterms:modified xsi:type="dcterms:W3CDTF">2026-08-05T03:37:49.909Z</dcterms:modified>
</cp:coreProperties>
</file>

<file path=docProps/custom.xml><?xml version="1.0" encoding="utf-8"?>
<Properties xmlns="http://schemas.openxmlformats.org/officeDocument/2006/custom-properties" xmlns:vt="http://schemas.openxmlformats.org/officeDocument/2006/docPropsVTypes"/>
</file>