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Thursday, 30 July 2026   •   Vol. I — Edition 009</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Karnataka HC (29 Jul) upheld the quashing of KIADB's land acquisition for the NICE/Bangalore-Mysuru Infrastructure Corridor project, dismissing NICE's appeal — the Division Bench cited encroachment allegations on lakes/private land and found affected farmers had not received adequate compensation despite the toll operator's substantial revenue. This corrects our earlier file note that NICE had simply withdrawn its case; it in fact pursued and lost an appeal.</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Telangana HC has gone further than a warning — it directly asked the Chief Secretary to REPLACE HYDRAA Commissioner Ranganath, who is publicly defending his 2-year tenure by citing ~₹1.5 lakh Cr in reclaimed public assets and framing the 63 contempt cases against him as filed by displaced encroachers.</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Adarsh Developers has raised ₹1,600 Cr+ in funding to drive a 10 msf residential portfolio, and Sumadhura is going vertical with a ₹250 Cr, 297-unit twin-tower (28-floor) project — both signal accelerating mid-tier scale-up in Bengaluru.</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Birla Estates–Mitsubishi Estate JV for Southeast Bengaluru is now confirmed at a ₹560 Cr investment, adding a hard figure to the partnership flagged earlier this week.</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BBC court-filing updates, K-RERA enforcement orders, or guidance-value gazette notification since yesterday; the BDA e-auction bidding rounds (28-31 Jul) and B-Khata window (closing 23 Aug) both remain live and unchanged.</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(retired 2004-batch IAS officer, former Secretary to CM Siddaramaiah) has been appointed a K-RERA Member for a 5-year term.</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note the K-RERA Member bench refresh for any pending or upcoming NBR matters before the authority.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vs. Recovery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ordered Adarsh Nivas Pvt. Ltd. to pay ₹79.84 lakh delay-interest and Casagrand Garden City to refund ₹52.74 lakh over unfair GST charges; however, K-RERA has recovered only ₹92 Cr of the ₹758 Cr owed by builders for delayed/incomplete projects overall (as of Dec 2024) — roughly 12% collection.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Enforcement orders are real reputational and legal exposure for peers, but the low system-wide recovery rate shows orders alone don't guarantee payment — NBR should treat its own RERA compliance as a reputational and legal discipline in its own right, not assume weak collection reduces the practical risk of an adverse order.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incl. high-demand plots in Arkavathi Layout, Anjanapura Township, Banashankari 6th Stage and Sir M. Visvesvaraya Layout); registration/interest closed 5 PM today, 27 Jul 2026; timed bidding now moves into rounds over 28–31 Jul 2026 (each round 11 AM to 5 PM the next day) on the Karnataka Public Procurement Portal, sold "As Is Where Is" under the BDA's 1984 Disposal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registration window has closed — any NBR site of interest not yet registered has missed this round; for sites NBR did register for, prepare bidding strategy now given the 10%-above-reserve and single-bidder-rejection rules already on file.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is moving ahead of full legal resolution: SNC has emerged as lowest bidder (L1) for the first 19.5-19.8 km stretch (Madavara on Tumakuru Road to Ballari Road near Kempegowda International Airport), where project SPV Bengaluru Business Corridor Limited (BBCL) has already acquired 523 of the 665 acres needed (~79%); to avoid further delay, authorities are planning to deposit the compensation amount in court and proceed with construction despite the pending Madavara petitions and the broader 1,000+-objection, three-ground legal challenge and HUDCO funding-pressure campaign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court-deposit-and-proceed approach is a meaningful de-risking move for the project's construction timeline, but it does NOT resolve the underlying legal questions (Section 27 lapse, applicable law, compensation-package legality) — NBR's BBC-alignment land-banking survey should now separately track (a) physical construction progress and (b) the unresolved legal case, since the two may now move on different timelines.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20.19-acre Whitefield-Hoskote parcel (₹588.33 Cr, via Ananthay Properties) is now confirmed as a ₹5,200 Cr GDV mixed-use development spanning 4.2 msf of residential, commercial and retail space — on top of the Malur plotted development, Prestige JV on Old Madras Road, and Gunjur JDA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~121 acres FY26; Whitefield-Hoskote alone now valued at ₹5,200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scale-up from a land-cost figure (₹588 Cr) to a full project GDV (₹5,200 Cr) shows Brigade's Whitefield-Hoskote play is a major mixed-use bet, not just a land banking move — a useful reminder to track GDV, not just acquisition cost, when sizing up peer moves.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₹1,150–1,160 Cr FY26 land spend continues at ~10 million sq ft/year pace (East Bengaluru's Sobha Altair, Hoskote World City); separately, Godrej Industries Group's family office (Anamudi Real Estates LLP) divested a 4.4% stake in Sobha for ₹858 Cr via open-market transactions.</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stake divestment is a shareholding/ownership event, not an operational change, but it's a reminder that Sobha's cap table includes cross-holdings with Godrej — a dynamic worth monitoring given Godrej Properties' own expansion in Sobha's core Bengaluru turf.</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Going vertical with a ₹250 Cr project comprising 297 apartments across two slender 28-floor towers, on top of the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₹250 Cr twin-tower (28-floor) project;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For any BDA e-auction site NBR did register for, execute bidding strategy now (10%-above-reserve threshold, single-bidder rejection rule) through the 28-31 Jul bidding rounds.</w:t>
      </w:r>
    </w:p>
    <w:p>
      <w:pPr>
        <w:pStyle w:val="ListParagraph"/>
        <w:numPr>
          <w:ilvl w:val="0"/>
          <w:numId w:val="2"/>
        </w:numPr>
        <w:spacing w:after="90"/>
      </w:pPr>
      <w:r>
        <w:rPr>
          <w:rFonts w:ascii="Calibri" w:cs="Calibri" w:eastAsia="Calibri" w:hAnsi="Calibri"/>
          <w:color w:val="1A1A1A"/>
          <w:sz w:val="19"/>
          <w:szCs w:val="19"/>
        </w:rPr>
        <w:t xml:space="preserve">BBCL's court-deposit-and-proceed approach on the Bengaluru Business Corridor's first stretch signals the state intends to keep construction moving regardless of the unresolved legal challenge — treat corridor-adjacent land timing assumptions as now decoupled from the litigation outcome, and model physical construction progress separately from legal resolution.</w:t>
      </w:r>
    </w:p>
    <w:p>
      <w:pPr>
        <w:pStyle w:val="ListParagraph"/>
        <w:numPr>
          <w:ilvl w:val="0"/>
          <w:numId w:val="2"/>
        </w:numPr>
        <w:spacing w:after="90"/>
      </w:pPr>
      <w:r>
        <w:rPr>
          <w:rFonts w:ascii="Calibri" w:cs="Calibri" w:eastAsia="Calibri" w:hAnsi="Calibri"/>
          <w:color w:val="1A1A1A"/>
          <w:sz w:val="19"/>
          <w:szCs w:val="19"/>
        </w:rPr>
        <w:t xml:space="preserve">Prestige's developer-funded private flyover (Bellandur–Kariyammana Agrahara) is a new precedent for unlocking connectivity-constrained land via self-funded infrastructure — evaluate whether any NBR parcel with an access constraint could benefit from a similar BBMP/GBA-approved private-infrastructure structure.</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NICE/BMICP ruling (29 Jul) and the Thalaghattapura BMICP quashings together show a documented pattern of Karnataka courts striking down old, dormant land acquisitions on grounds of undue delay and inadequate compensation — extend legal-team review to any NBR parcel history involving a decades-old, never-executed acquisition notation, since this pattern strengthens landowners' hand against such acquisitions.</w:t>
      </w:r>
    </w:p>
    <w:p>
      <w:pPr>
        <w:pStyle w:val="ListParagraph"/>
        <w:numPr>
          <w:ilvl w:val="0"/>
          <w:numId w:val="2"/>
        </w:numPr>
        <w:spacing w:after="90"/>
      </w:pPr>
      <w:r>
        <w:rPr>
          <w:rFonts w:ascii="Calibri" w:cs="Calibri" w:eastAsia="Calibri" w:hAnsi="Calibri"/>
          <w:color w:val="1A1A1A"/>
          <w:sz w:val="19"/>
          <w:szCs w:val="19"/>
        </w:rPr>
        <w:t xml:space="preserve">Track the Bengaluru Business Corridor's construction progress (SNC's L1 bid, 79% land acquired on the first stretch) and its legal case (Section 27 lapse, Madavara petition) as two separate workstreams going forward, since the court-deposit approach means they may no longer move in lockstep.</w:t>
      </w:r>
    </w:p>
    <w:p>
      <w:pPr>
        <w:pStyle w:val="ListParagraph"/>
        <w:numPr>
          <w:ilvl w:val="0"/>
          <w:numId w:val="2"/>
        </w:numPr>
        <w:spacing w:after="90"/>
      </w:pPr>
      <w:r>
        <w:rPr>
          <w:rFonts w:ascii="Calibri" w:cs="Calibri" w:eastAsia="Calibri" w:hAnsi="Calibri"/>
          <w:color w:val="1A1A1A"/>
          <w:sz w:val="19"/>
          <w:szCs w:val="19"/>
        </w:rPr>
        <w:t xml:space="preserve">GBA's voter-roll progress (88.92 lakh voters, 369 wards) is concrete, but the missed Supreme Court 30 June deadline means election timing is still unresolved — continue treating e-Khata/property-tax record continuity as an open diligence item.</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Prestige's self-funded flyover approval and Puravankara's cross-developer construction-arm role (SICL working for both Embassy and Sattva) both show Grade A peers finding creative structures to unlock value or capacity beyond simple land acquisition — worth a standing watch item for alternative deal structures NBR could adapt.</w:t>
      </w:r>
    </w:p>
    <w:p>
      <w:pPr>
        <w:pStyle w:val="ListParagraph"/>
        <w:numPr>
          <w:ilvl w:val="0"/>
          <w:numId w:val="2"/>
        </w:numPr>
        <w:spacing w:after="90"/>
      </w:pPr>
      <w:r>
        <w:rPr>
          <w:rFonts w:ascii="Calibri" w:cs="Calibri" w:eastAsia="Calibri" w:hAnsi="Calibri"/>
          <w:color w:val="1A1A1A"/>
          <w:sz w:val="19"/>
          <w:szCs w:val="19"/>
        </w:rPr>
        <w:t xml:space="preserve">Shriram Properties' simultaneous geographic (Pune) and format (row-housing) diversification is a reminder that even quieter Grade A peers can move on multiple fronts at once — don't assume a quiet developer is a static one.</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directly asked the Chief Secretary to REPLACE HYDRAA Commissioner Ranganath — not merely warned him — while Ranganath publicly defends his 2-year tenure by citing ~₹1.5 lakh Cr in reclaimed public assets and framing the 63 pending contempt cases as filed by displaced encroachers; the HC has separately ruled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 judicial call for a sitting commissioner's replacement is a significant escalation beyond a warning — NBR's Hyderabad land diligence should treat HYDRAA's leadership and enforcement posture as institutionally unsettled right now, independently verifying any parcel's encroachment/dispute history rather than relying on either side's public framing.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Treat Chennai (OMR/ECR/GST Road) and Hyderabad as medium-term watch markets rather than immediate expansion targets — the Telangana HC's Army deployment to secure a disputed parcel shows even court orders may not reliably stop HYDRAA action, a materially higher enforcement-risk profile than Karnataka.</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given HYDRAA's demonstrated willingness to act despite restraining orders — a single favourable court order should not be treated as closing the risk.</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Thursday, 30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2026-07-30T03:37:10.731Z</dcterms:created>
  <dcterms:modified xsi:type="dcterms:W3CDTF">2026-07-30T03:37:10.749Z</dcterms:modified>
</cp:coreProperties>
</file>

<file path=docProps/custom.xml><?xml version="1.0" encoding="utf-8"?>
<Properties xmlns="http://schemas.openxmlformats.org/officeDocument/2006/custom-properties" xmlns:vt="http://schemas.openxmlformats.org/officeDocument/2006/docPropsVTypes"/>
</file>