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Tuesday, 1 September 2026   •   Vol. I — Edition 036</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TOMORROW (2 Sept) is the confirmed administrative handover date on which the Greater Bengaluru Authority formally replaces BBMP, with Maheshwar Rao taking over as Chief Commissioner. This is the operative near-term date for khata/tax/approval filings — confirm all time-sensitive NBR filings are routed correctly as the handover takes effect, while elected local governance remains unsettled until at least the 31 December 2026 Supreme Court deadline.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day otherwise: no new Grade A/mid-tier Bengaluru land deal since Puravankara's Electronic City JDA and Brigade's Whitefield buy, no fresh Karnataka HC land ruling since the Lalitha S. GST-compensation decision, no public BDA response to the BBC Governor petition,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is now imminent: GBA formally replaces BBMP TOMORROW (2 September 2026), with Maheshwar Rao taking over as Chief Commissioner. Civic ELECTIONS remain on a separate, later track — the Supreme Court extended the poll deadline from 31 August to 31 December 2026, citing the ongoing Special Intensive Revision (SIR) of electoral rolls (concluding only by November), with a stern warning against further delay. Karnataka BJP has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With the handover taking effect tomorrow, confirm all time-sensitive NBR khata/tax/approval filings are correctly routed to the new GBA/five-corporation structure from day one. Elected local governance (and any associated policy shifts) remains unsettled until at least December 2026 — a materially longer governance-uncertainty window than originally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With the GBA administrative handover taking effect tomorrow (2 Sept), confirm today that every time-sensitive NBR khata/tax/approval filing is correctly routed to the new GBA/five-corporation structure from day one — any filing caught mid-transition risks delay while the new administrative machinery settles in.</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7-storey building collapse in Anjaiah Nagar, Gachibowli killed 2 workers, prompting Commissioner Ranganath to order identification and demolition of unsafe buildings citywide — notable because this building-safety drive is proceeding even while the Telangana HC's broader SOP-conditioned restraint on HYDRAA's encroachment-linked demolitions remains in force, suggesting the two enforcement tracks (structural safety vs. encroachment) are being treated as legally distinct. This layers onto the ₹72 Cr HYDRAA funding tranche, Ranganath's public land-mafia allegations (Lothukunta case), the G.O.Ms.No.218 HMDA TDR geographic-flexibility amendment, TG RERA's realtor penalties, the removal-order appeal,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building-safety drive proceeding in parallel with the demolition restraint is a useful clarification: HYDRAA's enforcement posture is not uniformly paused — a structural-safety hazard can still trigger immediate demolition action distinct from the encroachment-enforcement track courts have restrained. NBR should not assume any HYDRAA-adjacent Hyderabad asset is fully insulated from action merely because the encroachment-demolition SOP is still pending.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Urban Acres — GBA-replaces-BBMP (2 Sept 2026) handover-eve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Tuesday, 1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2026-09-01T03:35:07.340Z</dcterms:created>
  <dcterms:modified xsi:type="dcterms:W3CDTF">2026-09-01T03:35:07.351Z</dcterms:modified>
</cp:coreProperties>
</file>

<file path=docProps/custom.xml><?xml version="1.0" encoding="utf-8"?>
<Properties xmlns="http://schemas.openxmlformats.org/officeDocument/2006/custom-properties" xmlns:vt="http://schemas.openxmlformats.org/officeDocument/2006/docPropsVTypes"/>
</file>