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81A33" w:color="auto" w:val="clear"/>
        <w:spacing w:after="100" w:before="600"/>
        <w:jc w:val="center"/>
      </w:pPr>
      <w:r>
        <w:rPr>
          <w:rFonts w:ascii="Calibri" w:cs="Calibri" w:eastAsia="Calibri" w:hAnsi="Calibri"/>
          <w:b/>
          <w:bCs/>
          <w:color w:val="C9972C"/>
          <w:sz w:val="40"/>
          <w:szCs w:val="40"/>
        </w:rPr>
        <w:t xml:space="preserve">NBR GROUP</w:t>
      </w:r>
    </w:p>
    <w:p>
      <w:pPr>
        <w:shd w:fill="081A33" w:color="auto" w:val="clear"/>
        <w:spacing w:after="600"/>
        <w:jc w:val="center"/>
      </w:pPr>
      <w:r>
        <w:rPr>
          <w:rFonts w:ascii="Calibri" w:cs="Calibri" w:eastAsia="Calibri" w:hAnsi="Calibri"/>
          <w:b/>
          <w:bCs/>
          <w:color w:val="FFFFFF"/>
          <w:sz w:val="20"/>
          <w:szCs w:val="20"/>
        </w:rPr>
        <w:t xml:space="preserve">LEGAL DEPARTMENT  |  LAND ACQUISITION TEAM</w:t>
      </w:r>
    </w:p>
    <w:p>
      <w:pPr>
        <w:spacing w:before="900"/>
      </w:pPr>
    </w:p>
    <w:p>
      <w:pPr>
        <w:jc w:val="center"/>
      </w:pPr>
      <w:r>
        <w:rPr>
          <w:rFonts w:ascii="Calibri" w:cs="Calibri" w:eastAsia="Calibri" w:hAnsi="Calibri"/>
          <w:b/>
          <w:bCs/>
          <w:color w:val="0B2545"/>
          <w:sz w:val="48"/>
          <w:szCs w:val="48"/>
        </w:rPr>
        <w:t xml:space="preserve">DAILY MORNING</w:t>
      </w:r>
    </w:p>
    <w:p>
      <w:pPr>
        <w:spacing w:after="200"/>
        <w:jc w:val="center"/>
      </w:pPr>
      <w:r>
        <w:rPr>
          <w:rFonts w:ascii="Calibri" w:cs="Calibri" w:eastAsia="Calibri" w:hAnsi="Calibri"/>
          <w:b/>
          <w:bCs/>
          <w:color w:val="0B2545"/>
          <w:sz w:val="48"/>
          <w:szCs w:val="48"/>
        </w:rPr>
        <w:t xml:space="preserve">LEGAL &amp; LAND ACQUISITION DIGEST</w:t>
      </w:r>
    </w:p>
    <w:p>
      <w:pPr>
        <w:pBdr>
          <w:top w:val="single" w:color="C9972C" w:sz="24" w:space="8"/>
          <w:bottom w:val="single" w:color="C9972C" w:sz="24" w:space="8"/>
        </w:pBdr>
        <w:spacing w:after="200" w:before="200"/>
        <w:jc w:val="center"/>
      </w:pPr>
      <w:r>
        <w:rPr>
          <w:rFonts w:ascii="Calibri" w:cs="Calibri" w:eastAsia="Calibri" w:hAnsi="Calibri"/>
          <w:b/>
          <w:bCs/>
          <w:color w:val="C9972C"/>
          <w:sz w:val="24"/>
          <w:szCs w:val="24"/>
        </w:rPr>
        <w:t xml:space="preserve">Tuesday, 28 July 2026   •   Vol. I — Edition 007</w:t>
      </w:r>
    </w:p>
    <w:p>
      <w:pPr>
        <w:spacing w:before="500"/>
        <w:jc w:val="center"/>
      </w:pPr>
      <w:r>
        <w:rPr>
          <w:rFonts w:ascii="Calibri" w:cs="Calibri" w:eastAsia="Calibri" w:hAnsi="Calibri"/>
          <w:b/>
          <w:bCs/>
          <w:color w:val="FFFFFF"/>
          <w:sz w:val="22"/>
          <w:szCs w:val="22"/>
        </w:rPr>
        <w:t xml:space="preserve">LAYER 1</w:t>
      </w:r>
    </w:p>
    <w:p>
      <w:pPr>
        <w:shd w:fill="0B2545" w:color="auto" w:val="clear"/>
        <w:spacing w:after="160" w:before="0"/>
        <w:jc w:val="center"/>
      </w:pPr>
      <w:r>
        <w:rPr>
          <w:rFonts w:ascii="Calibri" w:cs="Calibri" w:eastAsia="Calibri" w:hAnsi="Calibri"/>
          <w:b/>
          <w:bCs/>
          <w:color w:val="FFFFFF"/>
          <w:sz w:val="22"/>
          <w:szCs w:val="22"/>
        </w:rPr>
        <w:t xml:space="preserve">Bengaluru &amp; Karnataka — Intensive Focus</w:t>
      </w:r>
    </w:p>
    <w:p>
      <w:pPr>
        <w:shd w:fill="C9972C" w:color="auto" w:val="clear"/>
        <w:spacing w:after="160"/>
        <w:jc w:val="center"/>
      </w:pPr>
      <w:r>
        <w:rPr>
          <w:rFonts w:ascii="Calibri" w:cs="Calibri" w:eastAsia="Calibri" w:hAnsi="Calibri"/>
          <w:b/>
          <w:bCs/>
          <w:color w:val="081A33"/>
          <w:sz w:val="22"/>
          <w:szCs w:val="22"/>
        </w:rPr>
        <w:t xml:space="preserve">LAYER 2  —  South India Regional Watch</w:t>
      </w:r>
    </w:p>
    <w:p>
      <w:pPr>
        <w:spacing w:before="900"/>
        <w:jc w:val="center"/>
      </w:pPr>
      <w:r>
        <w:rPr>
          <w:rFonts w:ascii="Calibri" w:cs="Calibri" w:eastAsia="Calibri" w:hAnsi="Calibri"/>
          <w:i/>
          <w:iCs/>
          <w:color w:val="1A1A1A"/>
          <w:sz w:val="18"/>
          <w:szCs w:val="18"/>
        </w:rPr>
        <w:t xml:space="preserve">Prepared for Senior Management  |  Strictly Internal &amp; Confidential</w:t>
      </w:r>
    </w:p>
    <w:p>
      <w:r>
        <w:br w:type="page"/>
      </w:r>
    </w:p>
    <w:p>
      <w:pPr>
        <w:shd w:fill="0B2545" w:color="auto" w:val="clear"/>
        <w:spacing w:after="160" w:before="280"/>
      </w:pPr>
      <w:r>
        <w:rPr>
          <w:rFonts w:ascii="Calibri" w:cs="Calibri" w:eastAsia="Calibri" w:hAnsi="Calibri"/>
          <w:b/>
          <w:bCs/>
          <w:color w:val="FFFFFF"/>
          <w:sz w:val="26"/>
          <w:szCs w:val="26"/>
        </w:rPr>
        <w:t xml:space="preserve">  EXECUTIVE SUMMARY — TOP SIGNALS TODAY</w:t>
      </w:r>
    </w:p>
    <w:p>
      <w:pPr>
        <w:spacing w:after="130"/>
      </w:pPr>
      <w:r>
        <w:rPr>
          <w:rFonts w:ascii="Calibri" w:cs="Calibri" w:eastAsia="Calibri" w:hAnsi="Calibri"/>
          <w:b/>
          <w:bCs/>
          <w:color w:val="A3121B"/>
          <w:sz w:val="19"/>
          <w:szCs w:val="19"/>
        </w:rPr>
        <w:t xml:space="preserve">[HIGH]  </w:t>
      </w:r>
      <w:r>
        <w:rPr>
          <w:rFonts w:ascii="Calibri" w:cs="Calibri" w:eastAsia="Calibri" w:hAnsi="Calibri"/>
          <w:color w:val="1A1A1A"/>
          <w:sz w:val="19"/>
          <w:szCs w:val="19"/>
        </w:rPr>
        <w:t xml:space="preserve">Over 250 farmers/landowners have filed a specific new HC petition against acquisition of a 3.8 km segment at the Madavara intersection of the Bengaluru Business Corridor — a targeted legal challenge on top of the broader 1,000+-objection, three-ground case already underway.</w:t>
      </w:r>
    </w:p>
    <w:p>
      <w:pPr>
        <w:spacing w:after="130"/>
      </w:pPr>
      <w:r>
        <w:rPr>
          <w:rFonts w:ascii="Calibri" w:cs="Calibri" w:eastAsia="Calibri" w:hAnsi="Calibri"/>
          <w:b/>
          <w:bCs/>
          <w:color w:val="1E7B34"/>
          <w:sz w:val="19"/>
          <w:szCs w:val="19"/>
        </w:rPr>
        <w:t xml:space="preserve">[WATCH]  </w:t>
      </w:r>
      <w:r>
        <w:rPr>
          <w:rFonts w:ascii="Calibri" w:cs="Calibri" w:eastAsia="Calibri" w:hAnsi="Calibri"/>
          <w:color w:val="1A1A1A"/>
          <w:sz w:val="19"/>
          <w:szCs w:val="19"/>
        </w:rPr>
        <w:t xml:space="preserve">Telangana HC has ruled that GHMC cannot acquire private land without owner consent, reinforcing that acquisition must be voluntary and duly compensated — a further judicial check on state agencies following last week's Army deployment against HYDRAA.</w:t>
      </w:r>
    </w:p>
    <w:p>
      <w:pPr>
        <w:spacing w:after="130"/>
      </w:pPr>
      <w:r>
        <w:rPr>
          <w:rFonts w:ascii="Calibri" w:cs="Calibri" w:eastAsia="Calibri" w:hAnsi="Calibri"/>
          <w:b/>
          <w:bCs/>
          <w:color w:val="1E7B34"/>
          <w:sz w:val="19"/>
          <w:szCs w:val="19"/>
        </w:rPr>
        <w:t xml:space="preserve">[WATCH]  </w:t>
      </w:r>
      <w:r>
        <w:rPr>
          <w:rFonts w:ascii="Calibri" w:cs="Calibri" w:eastAsia="Calibri" w:hAnsi="Calibri"/>
          <w:color w:val="1A1A1A"/>
          <w:sz w:val="19"/>
          <w:szCs w:val="19"/>
        </w:rPr>
        <w:t xml:space="preserve">GBA's revised draft voter list is out — 88.92 lakh voters across 369 wards and 8,024 planned polling stations — with the state government dismissing "baseless" claims that a proposed 650+-member nomination process would delay elections. Concrete progress on a previously ambiguous timeline.</w:t>
      </w:r>
    </w:p>
    <w:p>
      <w:pPr>
        <w:spacing w:after="130"/>
      </w:pPr>
      <w:r>
        <w:rPr>
          <w:rFonts w:ascii="Calibri" w:cs="Calibri" w:eastAsia="Calibri" w:hAnsi="Calibri"/>
          <w:b/>
          <w:bCs/>
          <w:color w:val="9C6F00"/>
          <w:sz w:val="19"/>
          <w:szCs w:val="19"/>
        </w:rPr>
        <w:t xml:space="preserve">[WATCH]  </w:t>
      </w:r>
      <w:r>
        <w:rPr>
          <w:rFonts w:ascii="Calibri" w:cs="Calibri" w:eastAsia="Calibri" w:hAnsi="Calibri"/>
          <w:color w:val="1A1A1A"/>
          <w:sz w:val="19"/>
          <w:szCs w:val="19"/>
        </w:rPr>
        <w:t xml:space="preserve">Puravankara's construction arm (Starworth/SICL) has now secured a second major contract — ₹311.18 Cr for the Sattva AANGANE project (3.04 msf, 37-month timeline) — on top of the Embassy Eden LOI, underscoring how deeply Puravankara's construction business is embedded across other Grade A developers' projects.</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Shriram Properties has signed a ₹600 Cr JDA for a 7-acre premium row-housing project in Yelahanka, North Bengaluru — its first fresh land move flagged in this digest, after several weeks with no new news.</w:t>
      </w:r>
    </w:p>
    <w:p>
      <w:pPr>
        <w:spacing w:after="80"/>
      </w:pPr>
    </w:p>
    <w:p>
      <w:pPr>
        <w:shd w:fill="0B2545" w:color="auto" w:val="clear"/>
        <w:spacing w:after="160" w:before="280"/>
      </w:pPr>
      <w:r>
        <w:rPr>
          <w:rFonts w:ascii="Calibri" w:cs="Calibri" w:eastAsia="Calibri" w:hAnsi="Calibri"/>
          <w:b/>
          <w:bCs/>
          <w:color w:val="FFFFFF"/>
          <w:sz w:val="28"/>
          <w:szCs w:val="28"/>
        </w:rPr>
        <w:t xml:space="preserve">  LAYER 1  —  BENGALURU &amp; KARNATAKA INTENSIVE UPDATE</w:t>
      </w:r>
    </w:p>
    <w:p>
      <w:pPr>
        <w:pBdr>
          <w:bottom w:val="single" w:color="0B2545" w:sz="10" w:space="2"/>
        </w:pBdr>
        <w:spacing w:after="100" w:before="220"/>
      </w:pPr>
      <w:r>
        <w:rPr>
          <w:rFonts w:ascii="Calibri" w:cs="Calibri" w:eastAsia="Calibri" w:hAnsi="Calibri"/>
          <w:b/>
          <w:bCs/>
          <w:color w:val="0B2545"/>
          <w:sz w:val="22"/>
          <w:szCs w:val="22"/>
        </w:rPr>
        <w:t xml:space="preserve">1.1  Regulatory &amp; Legal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Topic</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Registrations &amp; Scope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has now registered 28,000+ projects and 35,000+ agents since inception; residential projects which applied for an Occupancy Certificate before 1 May 2017 remain exempt from mandatory RERA registration; N. Jayaram (retired 2004-batch IAS officer, former Secretary to CM Siddaramaiah) has been appointed a K-RERA Member for a 5-year term.</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registration status (or exemption basis) for every NBR project before marketing; note the K-RERA Member bench refresh for any pending or upcoming NBR matters before the authority.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Enforcement — Orders vs. Recovery</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ordered Adarsh Nivas Pvt. Ltd. to pay ₹79.84 lakh delay-interest and Casagrand Garden City to refund ₹52.74 lakh over unfair GST charges; however, K-RERA has recovered only ₹92 Cr of the ₹758 Cr owed by builders for delayed/incomplete projects overall (as of Dec 2024) — roughly 12% collection.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Enforcement orders are real reputational and legal exposure for peers, but the low system-wide recovery rate shows orders alone don't guarantee payment — NBR should treat its own RERA compliance as a reputational and legal discipline in its own right, not assume weak collection reduces the practical risk of an adverse order.</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BBMP → GBA Transition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GBA's revised draft voter list is now out — 88.92 lakh voters identified across 5 corporations, 369 wards, with 8,024 polling stations planned; the state government has dismissed as "baseless" claims that a proposed 650+-member nomination process would delay elections, though the Supreme Court's 30 June 2026 completion deadline has already passed without a confirmed poll date.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voter-roll milestone is concrete progress, but the missed Supreme Court deadline means election timing remains genuinely uncertain — continue treating e-Khata/property-tax record continuity as an open diligence item until elections and the database merger are both confirmed complete.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e-Khata / e-Aasthi / Kaveri 2.0</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GBA has committed to auto-approving e-Khata applications left unprocessed beyond 5 working days; a verified e-Khata reference number is now mandatory for any sale-deed registration within GBA limits; e-Aasthi began accepting SAS Property Tax ID-based e-Khata downloads on 25 Apr 2026 (~13 lakh records covered). Processing has largely stabilised, though applicants near inter-corporation boundaries should expect extra time.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Pre-clear e-Khata reference numbers on all NBR land parcels and unsold inventory now — registration will simply be blocked without one; flag any parcel near a corporation boundary for early application given the noted boundary-area delays.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B-Khata → A-Khata Window</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Conversion charge remains cut from 5% to 2% of guidance value for the special window (15 May – 23 Aug 2026) — now roughly one month from closing.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Fast-track conversion for any NBR-held or under-acquisition B-Khata parcels; with ~4 weeks left, this should now be treated as a near-term legal-team deadline, not a background item.</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Guidance Value Revision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Feb 2026 revision (+6–15% Bengaluru urban, +4–8% rural) is in force; as of June 2026 a further proposed 10–15% increase remains un-gazetted, so current rates continue to apply pending formal notification.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Consider sequencing any pending LOIs/registrations ahead of the next gazette notification — locking in acquisitions at today's guidance value could avoid a further step-up in stamp duty/registration cost.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 Reforms Amendment 2025</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Land Reforms &amp; Certain Other Law (Amendment) Bill, 2025 expands Deputy Commissioners' Section 109 exemption power (0.5 ha → 4 ha, outside Bengaluru Urban/Rural); resale-after-7-years cases now need High-Power Committee (Chief Secretary) approval instead of State Government.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For any agricultural-to-non-agricultural conversion outside core Bengaluru districts, exemption approvals may now be faster at DC level — legal team to reassess conversion timelines on outstation parcels.</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1.2  Land Acquisition &amp; Government Land News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Project / Area</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Financial / Scale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Premium Sites e-Auction 2026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13th BDA e-auction this year (175 sites, incl. high-demand plots in Arkavathi Layout, Anjanapura Township, Banashankari 6th Stage and Sir M. Visvesvaraya Layout); registration/interest closed 5 PM today, 27 Jul 2026; timed bidding now moves into rounds over 28–31 Jul 2026 (each round 11 AM to 5 PM the next day) on the Karnataka Public Procurement Portal, sold "As Is Where Is" under the BDA's 1984 Disposal Rules.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registration window has closed — any NBR site of interest not yet registered has missed this round; for sites NBR did register for, prepare bidding strategy now given the 10%-above-reserve and single-bidder-rejection rules already on file.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(ex-PRR)</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broad 1,000+-objection, three-ground challenge (scheme lapse under Section 27 BDA Act; wrong acquisition law applied; unlawful compensation package) and the HUDCO funding-pressure campaign already on file, over 250 farmers/landowners have now filed a specific fresh HC petition against acquisition of a 3.8 km segment at the Madavara intersection. BDA needs ~2,560 acres in total; completion targeted around 2029.</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Madavara petition shows the legal challenge is fragmenting into segment-specific fights as well as the broad scheme-wide one — NBR's BBC-alignment land-banking survey should track both the overall case and any segment-level petitions that touch its specific areas of interest.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Approval for 6,217-Acre Acquisition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State government approved BDA's plan to acquire 6,217 acres across Bengaluru for planned development.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Track layout notifications under this acquisition — potential TDR/compensation-linked land opportunities for NBR to evaluate on a case-by-case basis.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Road Litigation Withdrawn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(Bangalore-Mysore Infrastructure Corridor) withdrew its land acquisition case in Karnataka HC after a Chief-Secretary-led mediation meeting.</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Illustrates state preference for negotiated settlement over prolonged litigation on infrastructure-linked land disputes — a useful precedent for NBR's own JDA negotiations with government-linked landholders.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KIADB Land Resistance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land-acquisition resistance committee is actively opposing KIADB's move to acquire farmers' land in Channarayapatna hobli, Devanahalli taluk, Bengaluru Rural — a North Bengaluru growth corridor near the airport.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is an active growth corridor for several Grade A/mid-tier peers (Century, Adarsh, Sumadhura all have projects there) — ongoing resistance to KIADB acquisition in the area is a reason for extra title/consent diligence on any NBR-adjacent parcel in that taluk.</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1.3  Judicial Developments (Karnataka High Court)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Case / Project</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Court Ruling &amp; Holding</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Implication for NBR</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Hosahalli Village Acquisition Quashed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quashed a 10+ acre land acquisition in Hosahalli village, Bengaluru South Taluk — proceedings dating to 1989 — citing fraud, suppression of material facts and manipulation of official records; the court relied on the G.V.K. Rao Committee's findings (which had recommended the acquisition be dropped) and set aside a single-judge order that had treated the acquisition as final.</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Reinforces that title defects and procedural fraud can unwind even a nearly 40-year-old "final" acquisition — NBR's diligence on any parcel with a house-building cooperative society or old acquisition history in its chain of title should go beyond face-value finality and check for underlying committee findings or record irregularities.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IMTMA v. State of Karnataka (KIAD Act)</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set aside acquisition of land for a private entity's expansion, calling it a "colourable exercise of power" and "fraud on the statute"; 12 landowner appeals allowed.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Any NBR acquisition routed through KIADB/industrial-area mechanisms must have unambiguous public-purpose documentation — this ruling raises the evidentiary bar and litigation risk for such routes.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Banashankari VI Stage (BDA)</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Division Bench upheld BDA's acquisition for the Banashankari VI Stage township, overturning a Jan 2025 single-bench order favouring landowners; ₹50,000 costs imposed on petitioners.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courts are increasingly upholding BDA's public-purpose township acquisitions on appeal — relevant precedent if NBR is affected by adjacent BDA layout notifications.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Bidadi Integrated Township — PIL Dismissed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acquisition of 516 acres for the Bidadi Integrated Township Project, finding no legal violations and confirming the process followed the Right to Fair Compensation Act (RFCTLARR), 2013.</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Hosahalli: acquisitions run strictly per RFCTLARR procedure and documentation are being upheld even at large scale (516 acres) — reinforces that clean process, not just age or size, is what determines litigation survivability.</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 Nagaraju v. Special LAO (NH Act Compensation)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ruled that courts cannot invoke Section 34 of the Arbitration Act to modify a land acquisition award or fix compensation under the National Highways Act — compensation disputes under that Act must follow their own statutory route, not general arbitration-law challenge.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Relevant if any NBR parcel is ever affected by a National Highways Act acquisition (e.g., near a highway-widening project) — confirms the correct legal remedy is the Act's own mechanism, not an arbitration-style challenge, which affects how legal budgets and timelines for such disputes should be planned.</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1.4  Competitor Analysis — Top 8 Grade A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5066"/>
        <w:gridCol w:w="1900"/>
        <w:gridCol w:w="15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50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Recent Land / Legal Development</w:t>
            </w:r>
          </w:p>
        </w:tc>
        <w:tc>
          <w:tcPr>
            <w:tcW w:type="dxa" w:w="19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Deal Size / GDV</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NBR Relevance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Prestige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Plans a large integrated destination within Bengaluru Airport City in partnership with Bengaluru Airport City itself — a ₹1,800 Cr investment with construction expected to start early 2027 — alongside its Aerospace Park Phase 2 (30+ acres) and Old Madras Road JV parcel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₹20,400 Cr GDV (Q1 FY26, multi-city) + ₹1,800 Cr Airport City destination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Prestige's Airport City tie-up is a new large-scale, partnership-anchored format (vs. outright land purchase) — worth tracking as a template for institution-anchored development deals.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Group</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20.19-acre Whitefield-Hoskote parcel (₹588.33 Cr, via Ananthay Properties) is now confirmed as a ₹5,200 Cr GDV mixed-use development spanning 4.2 msf of residential, commercial and retail space — on top of the Malur plotted development, Prestige JV on Old Madras Road, and Gunjur JDA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 deals / ~121 acres FY26; Whitefield-Hoskote alone now valued at ₹5,200 Cr GDV</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scale-up from a land-cost figure (₹588 Cr) to a full project GDV (₹5,200 Cr) shows Brigade's Whitefield-Hoskote play is a major mixed-use bet, not just a land banking move — a useful reminder to track GDV, not just acquisition cost, when sizing up peer moves.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Limited</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₹1,150–1,160 Cr FY26 land spend continues at ~10 million sq ft/year pace (East Bengaluru's Sobha Altair, Hoskote World City); separately, Godrej Industries Group's family office (Anamudi Real Estates LLP) divested a 4.4% stake in Sobha for ₹858 Cr via open-market transactions.</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 msf/yr acquisition target + ₹858 Cr Godrej-family-office stake sale</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stake divestment is a shareholding/ownership event, not an operational change, but it's a reminder that Sobha's cap table includes cross-holdings with Godrej — a dynamic worth monitoring given Godrej Properties' own expansion in Sobha's core Bengaluru turf.</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Limited</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Construction arm Starworth Infrastructure &amp; Construction Ltd (SICL) has secured a second major third-party contract — ₹311.18 Cr for the Sattva AANGANE project (3.04 msf, 37-month execution) — alongside the Embassy Eden LOI (₹133.34 Cr), its 25.61 msf Bengaluru land bank, and the KVN Property Holdings JV (24.59 acres)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25.61 msf Bengaluru land bank; ~120 acres across 6 recent land deals; SICL now holds ₹444.5 Cr+ in third-party construction contracts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Puravankara's construction arm is now embedded in both Embassy's and Sattva's active projects — a notable diversification into contracted construction services alongside its own land-bank growth, and a reminder of how interconnected Grade A peers' execution capacity has become.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Strong Bengaluru sales momentum continues: Godrej Vanantara sold ₹2,000 Cr of homes in its launch week, Godrej Woodscapes (Whitefield-Budigere Cross) has sold 2,000+ homes worth over ₹3,150 Cr, and a 14-acre Hoskote parcel (₹1,500 Cr revenue potential) adds to its East Bengaluru pipeline — all on top of FY24-25 record sales bookings of ~₹29,444 Cr nationally and its 17-deal/443.5-acre FY26 Bengaluru-area land run.</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17 deals / 443.5 acres (FY26, national) + ₹5,150 Cr+ recent Bengaluru launch-week sales + ₹29,444 Cr FY24-25 national bookings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Godrej's scale (national bookings) combined with hyper-local East Bengaluru execution (Whitefield-Budigere, Hoskote) makes it the benchmark to watch most closely for both pricing and absorption-rate comparisons.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 Group / Embassy Developments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 18.6-acre residential project off Whitefield on SH-648 (reported ongoing from March 2026) is planned with six high-rise towers and 1,200+ apartments; its Embassy Eden project has now engaged Puravankara's construction arm (₹133.34 Cr LOI, 34-month execution) alongside the previously reported ₹10,300 Cr FY26 North Bengaluru launch pipeline.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₹10,300 Cr planned launches FY26 + 18.6-acre SH-648 project</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Embassy's SH-648/Whitefield project adds another large-scale East Bengaluru entrant alongside Prestige and Brigade — East Bengaluru corridor density is rising fast.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Salarpuria Sattva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Pre-launched Sattva Vasanta Cove, a 1-acre residential development within its flagship Sattva Urbana township in North Bengaluru, alongside ongoing premium listings (Sattva Luxuria, Sattva Magnificia).</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Multiple ongoing premium launches, incl. new Sattva Urbana infill</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Steady-state redevelopment/infill activity (including infill within its own existing townships) in mature localities — a model NBR could evaluate for infill parcels.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 Properties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Signed a ₹600 Cr JDA for a 7-acre premium row-housing project in Yelahanka, North Bengaluru — its first fresh land move on file after several quiet weeks.</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₹600 Cr JDA, 7 acres (Yelahanka)</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premium row-housing format (vs. Shriram's usual plotted/apartment mix) in North Bengaluru — worth watching as a possible template if NBR considers a similar low-rise premium format.</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1.5  Competitor Watch — 16 Mid-Tier &amp; Boutique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166"/>
        <w:gridCol w:w="20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8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61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Snapshot / Recent Activity</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Segment Focus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Century Real Estate</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Planning a ₹3,000 Cr mixed-use project on a 14-acre Outer Ring Road parcel (1.7 million sq ft residential across ~750 apartments plus 0.5 million sq ft commercial/retail), backed in part by a recent ₹1,850 Cr funding round tied to a ₹14,000 Cr overall GDV pipeline; also launching Century Attur Yelahanka (458 units).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Mixed-use ORR development, land-bank monetisation</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Assetz Property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pre-launch project "Assetz Melodies of Life" off Hosa Road and Sarjapur Road in Choodasandra (directly adjacent to NBR's own Sarjapur-Mullur footprint); also launching Assetz Codename Sublime in Hoskote (3 BHK from ₹1.84 Cr).</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apartments, redevelopment — Sarjapur-adjacent and Hoskote entrants both active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Vaishnavi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residential/commercial/retail developer with a steady project pipeline.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 retail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Adarsh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launches directly on NBR's home turf: Adarsh Tropica Phase II (off Sarjapur Road, 2.5/3 BHK) and Adarsh Rosewood (Bellandur, 2/3 BHK), alongside the CDP Road/Varthur project (12 acres, 1,248 units) already on file — even as K-RERA's ₹79.84 lakh delay-interest order and 60-day completion deadline on Adarsh Palm Acres Phase-2B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Apartments, villas, plotted development — now with an active Sarjapur Road launch directly inside NBR's core corridor, while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Concorde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long-standing mid-tier developer with residential and commercial portfolio across multiple micro-markets.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Nitesh Estates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boutique/premium developer with high-end residential and hospitality-linked mixed-use history.</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mixed-use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Mahaveer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focused on affordable-to-mid-segment apartments in peripheral growth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apartments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SJR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active in residential and commercial segments, incl. IT-corridor adjacent projects.</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commercial/IT-corridor</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9</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Acquired 40 acres (up to ₹6,000 Cr revenue-potential pipeline); Sumadhura Aikya launched on Soukya Road, East Bengaluru — 5 acres, 343 units (2/2.5/3 BHK) from ₹1.2 Cr, Whitefield-adjacent, K-RERA registration under process — alongside the earlier 3-tower/523-unit Soukya Road launch and Panathur plotted foray already on file.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plotted, multi-city (Bengaluru + Hyderabad) — two separate Soukya Road launches now active</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DivyaSree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Bengaluru-origin developer with residential and commercial/IT-park legacy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 parks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Total Environment</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design-led boutique developer known for premium, low-density residential projects.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boutique residential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Won Best Landscape Project (17th Realty+ Excellence Awards, Pune 2026) and Best Residential/Best Affordable Project (ET Real Estate Conclave &amp; Awards 2026), even as K-RERA's ₹52.74 lakh GST-overcharge refund order against Casagrand Garden City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multi-city (South India) — award-winning portfolio, but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Birla Estates</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JV with M S Ramaiah Realty LLP for a 52-acre integrated township in Devanahalli (Birla Trimaya, ₹3,000 Cr target) has booked ~₹2,459 Cr across phases (Phase 4 alone ~₹650 Cr, 85%+ sold); separately entered a JV with Mitsubishi Estate Co. for a Southeast Bengaluru residential project.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new entrant — now running two large JVs (Ramaiah Realty in Devanahalli; Mitsubishi Estate in Southeast Bengaluru)</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Confident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Bengaluru-focused mid-segment residential and villa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residential, villas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Bren Corporation</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active in apartment and villa developments across peripheral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Apartments, villas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Vaswani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developer with residential and commercial project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1.6  Recommendations for NBR Group — Bengaluru / Karnataka</w:t>
      </w:r>
    </w:p>
    <w:p>
      <w:pPr>
        <w:spacing w:after="80" w:before="140"/>
      </w:pPr>
      <w:r>
        <w:rPr>
          <w:rFonts w:ascii="Calibri" w:cs="Calibri" w:eastAsia="Calibri" w:hAnsi="Calibri"/>
          <w:b/>
          <w:bCs/>
          <w:color w:val="0B2545"/>
          <w:sz w:val="20"/>
          <w:szCs w:val="20"/>
        </w:rPr>
        <w:t xml:space="preserve">Land Acquisition Strategy</w:t>
      </w:r>
    </w:p>
    <w:p>
      <w:pPr>
        <w:pStyle w:val="ListParagraph"/>
        <w:numPr>
          <w:ilvl w:val="0"/>
          <w:numId w:val="2"/>
        </w:numPr>
        <w:spacing w:after="90"/>
      </w:pPr>
      <w:r>
        <w:rPr>
          <w:rFonts w:ascii="Calibri" w:cs="Calibri" w:eastAsia="Calibri" w:hAnsi="Calibri"/>
          <w:color w:val="1A1A1A"/>
          <w:sz w:val="19"/>
          <w:szCs w:val="19"/>
        </w:rPr>
        <w:t xml:space="preserve">For any BDA e-auction site NBR did register for, execute bidding strategy now (10%-above-reserve threshold, single-bidder rejection rule) through the 28-31 Jul bidding rounds.</w:t>
      </w:r>
    </w:p>
    <w:p>
      <w:pPr>
        <w:pStyle w:val="ListParagraph"/>
        <w:numPr>
          <w:ilvl w:val="0"/>
          <w:numId w:val="2"/>
        </w:numPr>
        <w:spacing w:after="90"/>
      </w:pPr>
      <w:r>
        <w:rPr>
          <w:rFonts w:ascii="Calibri" w:cs="Calibri" w:eastAsia="Calibri" w:hAnsi="Calibri"/>
          <w:color w:val="1A1A1A"/>
          <w:sz w:val="19"/>
          <w:szCs w:val="19"/>
        </w:rPr>
        <w:t xml:space="preserve">The Bengaluru Business Corridor challenge is now fragmenting into segment-specific petitions (Madavara) as well as the broad scheme-wide case — cross-check whether any NBR-adjacent parcel sits near a segment already subject to its own petition, not just the corridor generally.</w:t>
      </w:r>
    </w:p>
    <w:p>
      <w:pPr>
        <w:pStyle w:val="ListParagraph"/>
        <w:numPr>
          <w:ilvl w:val="0"/>
          <w:numId w:val="2"/>
        </w:numPr>
        <w:spacing w:after="90"/>
      </w:pPr>
      <w:r>
        <w:rPr>
          <w:rFonts w:ascii="Calibri" w:cs="Calibri" w:eastAsia="Calibri" w:hAnsi="Calibri"/>
          <w:color w:val="1A1A1A"/>
          <w:sz w:val="19"/>
          <w:szCs w:val="19"/>
        </w:rPr>
        <w:t xml:space="preserve">Shriram Properties' new premium row-housing JDA in Yelahanka (₹600 Cr, 7 acres) is a reminder that low-rise premium formats are gaining traction beyond apartments — worth a quick feasibility look for any NBR parcel suited to that format.</w:t>
      </w:r>
    </w:p>
    <w:p>
      <w:pPr>
        <w:pStyle w:val="ListParagraph"/>
        <w:numPr>
          <w:ilvl w:val="0"/>
          <w:numId w:val="2"/>
        </w:numPr>
        <w:spacing w:after="90"/>
      </w:pPr>
      <w:r>
        <w:rPr>
          <w:rFonts w:ascii="Calibri" w:cs="Calibri" w:eastAsia="Calibri" w:hAnsi="Calibri"/>
          <w:color w:val="1A1A1A"/>
          <w:sz w:val="19"/>
          <w:szCs w:val="19"/>
        </w:rPr>
        <w:t xml:space="preserve">Sequence pending land LOIs and registrations ahead of the next (un-gazetted) guidance-value notification — locking in at today's rate avoids a further step-up once the proposed 10–15% hike is formalised.</w:t>
      </w:r>
    </w:p>
    <w:p>
      <w:pPr>
        <w:spacing w:after="80" w:before="140"/>
      </w:pPr>
      <w:r>
        <w:rPr>
          <w:rFonts w:ascii="Calibri" w:cs="Calibri" w:eastAsia="Calibri" w:hAnsi="Calibri"/>
          <w:b/>
          <w:bCs/>
          <w:color w:val="A3121B"/>
          <w:sz w:val="20"/>
          <w:szCs w:val="20"/>
        </w:rPr>
        <w:t xml:space="preserve">Legal &amp; Compliance</w:t>
      </w:r>
    </w:p>
    <w:p>
      <w:pPr>
        <w:pStyle w:val="ListParagraph"/>
        <w:numPr>
          <w:ilvl w:val="0"/>
          <w:numId w:val="2"/>
        </w:numPr>
        <w:spacing w:after="90"/>
      </w:pPr>
      <w:r>
        <w:rPr>
          <w:rFonts w:ascii="Calibri" w:cs="Calibri" w:eastAsia="Calibri" w:hAnsi="Calibri"/>
          <w:color w:val="1A1A1A"/>
          <w:sz w:val="19"/>
          <w:szCs w:val="19"/>
        </w:rPr>
        <w:t xml:space="preserve">GBA's voter-roll progress (88.92 lakh voters, 369 wards) is concrete, but the missed Supreme Court 30 June deadline means election timing is still unresolved — continue treating e-Khata/property-tax record continuity as an open diligence item.</w:t>
      </w:r>
    </w:p>
    <w:p>
      <w:pPr>
        <w:pStyle w:val="ListParagraph"/>
        <w:numPr>
          <w:ilvl w:val="0"/>
          <w:numId w:val="2"/>
        </w:numPr>
        <w:spacing w:after="90"/>
      </w:pPr>
      <w:r>
        <w:rPr>
          <w:rFonts w:ascii="Calibri" w:cs="Calibri" w:eastAsia="Calibri" w:hAnsi="Calibri"/>
          <w:color w:val="1A1A1A"/>
          <w:sz w:val="19"/>
          <w:szCs w:val="19"/>
        </w:rPr>
        <w:t xml:space="preserve">Track the Madavara-specific BBC petition and the broader Section 27 lapse case together — a segment-level ruling could set precedent for the whole scheme faster than the broad case resolves.</w:t>
      </w:r>
    </w:p>
    <w:p>
      <w:pPr>
        <w:pStyle w:val="ListParagraph"/>
        <w:numPr>
          <w:ilvl w:val="0"/>
          <w:numId w:val="2"/>
        </w:numPr>
        <w:spacing w:after="90"/>
      </w:pPr>
      <w:r>
        <w:rPr>
          <w:rFonts w:ascii="Calibri" w:cs="Calibri" w:eastAsia="Calibri" w:hAnsi="Calibri"/>
          <w:color w:val="1A1A1A"/>
          <w:sz w:val="19"/>
          <w:szCs w:val="19"/>
        </w:rPr>
        <w:t xml:space="preserve">If any NBR-adjacent parcel sits in Devanahalli's Channarayapatna hobli, continue to review the active KIADB land-resistance dispute there before treating consent or title as settled.</w:t>
      </w:r>
    </w:p>
    <w:p>
      <w:pPr>
        <w:spacing w:after="80" w:before="140"/>
      </w:pPr>
      <w:r>
        <w:rPr>
          <w:rFonts w:ascii="Calibri" w:cs="Calibri" w:eastAsia="Calibri" w:hAnsi="Calibri"/>
          <w:b/>
          <w:bCs/>
          <w:color w:val="1E7B34"/>
          <w:sz w:val="20"/>
          <w:szCs w:val="20"/>
        </w:rPr>
        <w:t xml:space="preserve">Competitive Positioning</w:t>
      </w:r>
    </w:p>
    <w:p>
      <w:pPr>
        <w:pStyle w:val="ListParagraph"/>
        <w:numPr>
          <w:ilvl w:val="0"/>
          <w:numId w:val="2"/>
        </w:numPr>
        <w:spacing w:after="90"/>
      </w:pPr>
      <w:r>
        <w:rPr>
          <w:rFonts w:ascii="Calibri" w:cs="Calibri" w:eastAsia="Calibri" w:hAnsi="Calibri"/>
          <w:color w:val="1A1A1A"/>
          <w:sz w:val="19"/>
          <w:szCs w:val="19"/>
        </w:rPr>
        <w:t xml:space="preserve">Puravankara's construction arm (Starworth/SICL) now executes work for both Embassy and Sattva — a reminder that Grade A peers' capacity and relationships are increasingly interconnected; map which contractors/construction arms NBR's own projects depend on for similar concentration risk.</w:t>
      </w:r>
    </w:p>
    <w:p>
      <w:pPr>
        <w:pStyle w:val="ListParagraph"/>
        <w:numPr>
          <w:ilvl w:val="0"/>
          <w:numId w:val="2"/>
        </w:numPr>
        <w:spacing w:after="90"/>
      </w:pPr>
      <w:r>
        <w:rPr>
          <w:rFonts w:ascii="Calibri" w:cs="Calibri" w:eastAsia="Calibri" w:hAnsi="Calibri"/>
          <w:color w:val="1A1A1A"/>
          <w:sz w:val="19"/>
          <w:szCs w:val="19"/>
        </w:rPr>
        <w:t xml:space="preserve">Brigade's Whitefield-Hoskote project re-rating from a ₹588 Cr land-cost figure to a ₹5,200 Cr GDV mixed-use bet is a reminder to track total project GDV, not just acquisition price, when benchmarking peer moves against NBR's own project economics.</w:t>
      </w:r>
    </w:p>
    <w:p>
      <w:pPr>
        <w:pStyle w:val="ListParagraph"/>
        <w:numPr>
          <w:ilvl w:val="0"/>
          <w:numId w:val="2"/>
        </w:numPr>
        <w:spacing w:after="90"/>
      </w:pPr>
      <w:r>
        <w:rPr>
          <w:rFonts w:ascii="Calibri" w:cs="Calibri" w:eastAsia="Calibri" w:hAnsi="Calibri"/>
          <w:color w:val="1A1A1A"/>
          <w:sz w:val="19"/>
          <w:szCs w:val="19"/>
        </w:rPr>
        <w:t xml:space="preserve">Benchmark NBR's own absorption rates against Godrej Properties' national-scale momentum (₹29,444 Cr FY24-25 bookings) combined with hyper-local East Bengaluru execution — still the strongest dual-scale benchmark identified to date.</w:t>
      </w:r>
    </w:p>
    <w:p>
      <w:pPr>
        <w:spacing w:after="120"/>
      </w:pPr>
    </w:p>
    <w:p>
      <w:r>
        <w:br w:type="page"/>
      </w:r>
    </w:p>
    <w:p>
      <w:pPr>
        <w:shd w:fill="C9972C" w:color="auto" w:val="clear"/>
        <w:spacing w:after="160" w:before="280"/>
      </w:pPr>
      <w:r>
        <w:rPr>
          <w:rFonts w:ascii="Calibri" w:cs="Calibri" w:eastAsia="Calibri" w:hAnsi="Calibri"/>
          <w:b/>
          <w:bCs/>
          <w:color w:val="FFFFFF"/>
          <w:sz w:val="28"/>
          <w:szCs w:val="28"/>
        </w:rPr>
        <w:t xml:space="preserve">  LAYER 2  —  SOUTH INDIA REGIONAL WATCH</w:t>
      </w:r>
    </w:p>
    <w:p>
      <w:pPr>
        <w:spacing w:after="160"/>
      </w:pPr>
      <w:r>
        <w:rPr>
          <w:rFonts w:ascii="Calibri" w:cs="Calibri" w:eastAsia="Calibri" w:hAnsi="Calibri"/>
          <w:i/>
          <w:iCs/>
          <w:color w:val="0B2545"/>
          <w:sz w:val="19"/>
          <w:szCs w:val="19"/>
        </w:rPr>
        <w:t xml:space="preserve">Tamil Nadu  •  Telangana  •  Andhra Pradesh  •  Kerala</w:t>
      </w:r>
    </w:p>
    <w:p>
      <w:pPr>
        <w:pBdr>
          <w:bottom w:val="single" w:color="0B2545" w:sz="10" w:space="2"/>
        </w:pBdr>
        <w:spacing w:after="100" w:before="220"/>
      </w:pPr>
      <w:r>
        <w:rPr>
          <w:rFonts w:ascii="Calibri" w:cs="Calibri" w:eastAsia="Calibri" w:hAnsi="Calibri"/>
          <w:b/>
          <w:bCs/>
          <w:color w:val="0B2545"/>
          <w:sz w:val="22"/>
          <w:szCs w:val="22"/>
        </w:rPr>
        <w:t xml:space="preserve">2.1  Regional Legal &amp; Regulatory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State / City</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Tamil Nadu / Chennai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TNRERA continues to drive buyer trust (ready-to-move demand +35% post-RERA); Jan 2026 guideline-value revision raised rates along OMR, ECR and GST Road growth corridors; stamp duty 7% + registration 4% (11% all-in) charged on the higher of guideline value or sale price.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If NBR evaluates a Chennai entry or JV, price underwriting must use the higher of guideline/market value; OMR/ECR corridors carry the steepest revised guideline values.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 Hyderabad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Building on the 23 Jul Army-deployment order (Telangana HC warned the HYDRAA chief he could personally be taken into custody for non-compliance), the Telangana HC has separately ruled that GHMC cannot acquire private land without owner consent, reinforcing that acquisition must be voluntary and duly compensated. This follows the Telangana Cabinet's approval to merge 27 ORR-abutting municipalities into GHMC.</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Two judicial checks on Telangana state agencies within a week (personal-custody warning to HYDRAA's chief; a consent requirement on GHMC) suggest courts there are taking an increasingly interventionist posture — a modest positive for landholders' protections, but still a materially higher enforcement-friction environment than Karnataka for any NBR Hyderabad diligence.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 Amaravati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fresh government order details acquisition of 20,494 acres in total — 16,562.56 acres of patta (private) land, 104.01 acres of assigned land, and 3,828.30 acres of government land — for an International Sports City, greenfield international airport and related infrastructure, layering onto the confirmed permanent-capital status (President's April 2026 assent) and the ongoing Phase II pooling (16,666.78 acres).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precise private/assigned/government land breakdown shows the bulk (16,562+ acres) is coming from private patta holders, not government land — a reminder that Amaravati's build-out will keep generating fresh land-acquisition and compensation activity for years; a long-horizon watch item, not yet an actionable NBR opportunity.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development beyond the previously reported land-law expert committee proposal and 2026 Government Land Assignment Rules; June 2026 market data continues to show steady NRI-driven demand and improved digitised land records.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Land-law reform is still at the committee stage — not yet actionable, but NBR's legal team should keep tracking committee recommendations given potential impact on assignment-land conversions.</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2.2  Notable South India Land Deals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566"/>
        <w:gridCol w:w="1500"/>
      </w:tblGrid>
      <w:tr>
        <w:trPr>
          <w:tblHeader/>
        </w:trPr>
        <w:tc>
          <w:tcPr>
            <w:tcW w:type="dxa" w:w="24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 / Project</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Location</w:t>
            </w:r>
          </w:p>
        </w:tc>
        <w:tc>
          <w:tcPr>
            <w:tcW w:type="dxa" w:w="45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Details</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Scale</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 / Godrej Fund Management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(South India-wide franchise)</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Fund Management's purchase of a Bengaluru parcel from Puravankara illustrates the institutional-capital secondary market for land now active across Godrej's South India operations.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Fund-backed acquisition from a peer developer</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Listed developers (South India, FY26)</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&amp;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 land deals each in Chennai (74+ acres) and Hyderabad (~38 acres) among listed players in FY26; Coimbatore also saw listed-player activity.</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~112 acres combined (Chennai+Hyderabad)</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(HQ) + Bengaluru expansion</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Continues multi-city project delivery (incl. Casagrand Moondance, Bengaluru) alongside a K-RERA GST-refund enforcement order in Bengaluru this week.</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Multi-project, multi-city — under K-RERA enforcement</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plotted-development vertical (~₹1,500 Cr topline target) adds to its concurrent Bengaluru/Hyderabad pipeline, reinforcing cross-city land banking by mid-tier South India players.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 vertical, ~₹1,500 Cr target</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2.3  Recommendations for NBR Group — South India</w:t>
      </w:r>
    </w:p>
    <w:p>
      <w:pPr>
        <w:spacing w:after="80" w:before="140"/>
      </w:pPr>
      <w:r>
        <w:rPr>
          <w:rFonts w:ascii="Calibri" w:cs="Calibri" w:eastAsia="Calibri" w:hAnsi="Calibri"/>
          <w:b/>
          <w:bCs/>
          <w:color w:val="0B2545"/>
          <w:sz w:val="20"/>
          <w:szCs w:val="20"/>
        </w:rPr>
        <w:t xml:space="preserve">Regional Positioning</w:t>
      </w:r>
    </w:p>
    <w:p>
      <w:pPr>
        <w:pStyle w:val="ListParagraph"/>
        <w:numPr>
          <w:ilvl w:val="0"/>
          <w:numId w:val="2"/>
        </w:numPr>
        <w:spacing w:after="90"/>
      </w:pPr>
      <w:r>
        <w:rPr>
          <w:rFonts w:ascii="Calibri" w:cs="Calibri" w:eastAsia="Calibri" w:hAnsi="Calibri"/>
          <w:color w:val="1A1A1A"/>
          <w:sz w:val="19"/>
          <w:szCs w:val="19"/>
        </w:rPr>
        <w:t xml:space="preserve">Treat Chennai (OMR/ECR/GST Road) and Hyderabad as medium-term watch markets rather than immediate expansion targets — the Telangana HC's Army deployment to secure a disputed parcel shows even court orders may not reliably stop HYDRAA action, a materially higher enforcement-risk profile than Karnataka.</w:t>
      </w:r>
    </w:p>
    <w:p>
      <w:pPr>
        <w:pStyle w:val="ListParagraph"/>
        <w:numPr>
          <w:ilvl w:val="0"/>
          <w:numId w:val="2"/>
        </w:numPr>
        <w:spacing w:after="90"/>
      </w:pPr>
      <w:r>
        <w:rPr>
          <w:rFonts w:ascii="Calibri" w:cs="Calibri" w:eastAsia="Calibri" w:hAnsi="Calibri"/>
          <w:color w:val="1A1A1A"/>
          <w:sz w:val="19"/>
          <w:szCs w:val="19"/>
        </w:rPr>
        <w:t xml:space="preserve">Amaravati's precise 20,494-acre acquisition breakdown (16,562+ acres from private patta holders) is a reminder the capital's build-out will keep generating years of fresh land-acquisition and compensation activity — a long-horizon watch item, not a near-term opportunity.</w:t>
      </w:r>
    </w:p>
    <w:p>
      <w:pPr>
        <w:pStyle w:val="ListParagraph"/>
        <w:numPr>
          <w:ilvl w:val="0"/>
          <w:numId w:val="2"/>
        </w:numPr>
        <w:spacing w:after="90"/>
      </w:pPr>
      <w:r>
        <w:rPr>
          <w:rFonts w:ascii="Calibri" w:cs="Calibri" w:eastAsia="Calibri" w:hAnsi="Calibri"/>
          <w:color w:val="1A1A1A"/>
          <w:sz w:val="19"/>
          <w:szCs w:val="19"/>
        </w:rPr>
        <w:t xml:space="preserve">If a South India footprint beyond Karnataka is on NBR's roadmap, Hyderabad diligence must independently and repeatedly verify government/lake-buffer land status given HYDRAA's demonstrated willingness to act despite restraining orders — a single favourable court order should not be treated as closing the risk.</w:t>
      </w:r>
    </w:p>
    <w:p>
      <w:pPr>
        <w:spacing w:after="80" w:before="140"/>
      </w:pPr>
      <w:r>
        <w:rPr>
          <w:rFonts w:ascii="Calibri" w:cs="Calibri" w:eastAsia="Calibri" w:hAnsi="Calibri"/>
          <w:b/>
          <w:bCs/>
          <w:color w:val="A3121B"/>
          <w:sz w:val="20"/>
          <w:szCs w:val="20"/>
        </w:rPr>
        <w:t xml:space="preserve">Legal Watch</w:t>
      </w:r>
    </w:p>
    <w:p>
      <w:pPr>
        <w:pStyle w:val="ListParagraph"/>
        <w:numPr>
          <w:ilvl w:val="0"/>
          <w:numId w:val="2"/>
        </w:numPr>
        <w:spacing w:after="90"/>
      </w:pPr>
      <w:r>
        <w:rPr>
          <w:rFonts w:ascii="Calibri" w:cs="Calibri" w:eastAsia="Calibri" w:hAnsi="Calibri"/>
          <w:color w:val="1A1A1A"/>
          <w:sz w:val="19"/>
          <w:szCs w:val="19"/>
        </w:rPr>
        <w:t xml:space="preserve">Track Kerala's land-law expert committee recommendations — any reform to assignment-land conversion rules could open or close future acquisition routes in that state.</w:t>
      </w:r>
    </w:p>
    <w:p>
      <w:pPr>
        <w:pStyle w:val="ListParagraph"/>
        <w:numPr>
          <w:ilvl w:val="0"/>
          <w:numId w:val="2"/>
        </w:numPr>
        <w:spacing w:after="90"/>
      </w:pPr>
      <w:r>
        <w:rPr>
          <w:rFonts w:ascii="Calibri" w:cs="Calibri" w:eastAsia="Calibri" w:hAnsi="Calibri"/>
          <w:color w:val="1A1A1A"/>
          <w:sz w:val="19"/>
          <w:szCs w:val="19"/>
        </w:rPr>
        <w:t xml:space="preserve">Where NBR engages South India-based contractors, JV partners or landholders (e.g., in a Casagrand-style multi-city expansion posture), confirm TNRERA/TS-RERA/Kerala RERA registration status independently before any MoU is signed — and note that even established South India players (Casagrand) are currently under active K-RERA enforcement.</w:t>
      </w:r>
    </w:p>
    <w:p>
      <w:pPr>
        <w:spacing w:after="120"/>
      </w:pPr>
    </w:p>
    <w:p>
      <w:pPr>
        <w:pBdr>
          <w:bottom w:val="single" w:color="C9972C" w:sz="24" w:space="1"/>
        </w:pBdr>
        <w:spacing w:after="200"/>
      </w:pPr>
    </w:p>
    <w:p>
      <w:pPr>
        <w:pBdr>
          <w:bottom w:val="single" w:color="0B2545" w:sz="10" w:space="2"/>
        </w:pBdr>
        <w:spacing w:after="100" w:before="220"/>
      </w:pPr>
      <w:r>
        <w:rPr>
          <w:rFonts w:ascii="Calibri" w:cs="Calibri" w:eastAsia="Calibri" w:hAnsi="Calibri"/>
          <w:b/>
          <w:bCs/>
          <w:color w:val="0B2545"/>
          <w:sz w:val="22"/>
          <w:szCs w:val="22"/>
        </w:rPr>
        <w:t xml:space="preserve">Sources &amp; Publications Referenced</w:t>
      </w:r>
    </w:p>
    <w:p>
      <w:pPr>
        <w:pStyle w:val="ListParagraph"/>
        <w:numPr>
          <w:ilvl w:val="0"/>
          <w:numId w:val="2"/>
        </w:numPr>
        <w:spacing w:after="90"/>
      </w:pPr>
      <w:r>
        <w:rPr>
          <w:rFonts w:ascii="Calibri" w:cs="Calibri" w:eastAsia="Calibri" w:hAnsi="Calibri"/>
          <w:color w:val="444444"/>
          <w:sz w:val="17"/>
          <w:szCs w:val="17"/>
        </w:rPr>
        <w:t xml:space="preserve">Deccan Herald — Karnataka/Bengaluru state &amp; city desk</w:t>
      </w:r>
    </w:p>
    <w:p>
      <w:pPr>
        <w:pStyle w:val="ListParagraph"/>
        <w:numPr>
          <w:ilvl w:val="0"/>
          <w:numId w:val="2"/>
        </w:numPr>
        <w:spacing w:after="90"/>
      </w:pPr>
      <w:r>
        <w:rPr>
          <w:rFonts w:ascii="Calibri" w:cs="Calibri" w:eastAsia="Calibri" w:hAnsi="Calibri"/>
          <w:color w:val="444444"/>
          <w:sz w:val="17"/>
          <w:szCs w:val="17"/>
        </w:rPr>
        <w:t xml:space="preserve">Business Standard — Companies &amp; Capital Market News</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(29 Jun–5 Jul 2026)</w:t>
      </w:r>
    </w:p>
    <w:p>
      <w:pPr>
        <w:pStyle w:val="ListParagraph"/>
        <w:numPr>
          <w:ilvl w:val="0"/>
          <w:numId w:val="2"/>
        </w:numPr>
        <w:spacing w:after="90"/>
      </w:pPr>
      <w:r>
        <w:rPr>
          <w:rFonts w:ascii="Calibri" w:cs="Calibri" w:eastAsia="Calibri" w:hAnsi="Calibri"/>
          <w:color w:val="444444"/>
          <w:sz w:val="17"/>
          <w:szCs w:val="17"/>
        </w:rPr>
        <w:t xml:space="preserve">The420.in — Karnataka High Court / Hosahalli land-fraud coverage</w:t>
      </w:r>
    </w:p>
    <w:p>
      <w:pPr>
        <w:pStyle w:val="ListParagraph"/>
        <w:numPr>
          <w:ilvl w:val="0"/>
          <w:numId w:val="2"/>
        </w:numPr>
        <w:spacing w:after="90"/>
      </w:pPr>
      <w:r>
        <w:rPr>
          <w:rFonts w:ascii="Calibri" w:cs="Calibri" w:eastAsia="Calibri" w:hAnsi="Calibri"/>
          <w:color w:val="444444"/>
          <w:sz w:val="17"/>
          <w:szCs w:val="17"/>
        </w:rPr>
        <w:t xml:space="preserve">LiveLaw.in — Karnataka High Court coverage</w:t>
      </w:r>
    </w:p>
    <w:p>
      <w:pPr>
        <w:pStyle w:val="ListParagraph"/>
        <w:numPr>
          <w:ilvl w:val="0"/>
          <w:numId w:val="2"/>
        </w:numPr>
        <w:spacing w:after="90"/>
      </w:pPr>
      <w:r>
        <w:rPr>
          <w:rFonts w:ascii="Calibri" w:cs="Calibri" w:eastAsia="Calibri" w:hAnsi="Calibri"/>
          <w:color w:val="444444"/>
          <w:sz w:val="17"/>
          <w:szCs w:val="17"/>
        </w:rPr>
        <w:t xml:space="preserve">Mondaq / Khurana &amp; Khurana — RERA judgment analysis</w:t>
      </w:r>
    </w:p>
    <w:p>
      <w:pPr>
        <w:pStyle w:val="ListParagraph"/>
        <w:numPr>
          <w:ilvl w:val="0"/>
          <w:numId w:val="2"/>
        </w:numPr>
        <w:spacing w:after="90"/>
      </w:pPr>
      <w:r>
        <w:rPr>
          <w:rFonts w:ascii="Calibri" w:cs="Calibri" w:eastAsia="Calibri" w:hAnsi="Calibri"/>
          <w:color w:val="444444"/>
          <w:sz w:val="17"/>
          <w:szCs w:val="17"/>
        </w:rPr>
        <w:t xml:space="preserve">Karnataka RERA (rera.karnataka.gov.in) — official registrations &amp; orders</w:t>
      </w:r>
    </w:p>
    <w:p>
      <w:pPr>
        <w:pStyle w:val="ListParagraph"/>
        <w:numPr>
          <w:ilvl w:val="0"/>
          <w:numId w:val="2"/>
        </w:numPr>
        <w:spacing w:after="90"/>
      </w:pPr>
      <w:r>
        <w:rPr>
          <w:rFonts w:ascii="Calibri" w:cs="Calibri" w:eastAsia="Calibri" w:hAnsi="Calibri"/>
          <w:color w:val="444444"/>
          <w:sz w:val="17"/>
          <w:szCs w:val="17"/>
        </w:rPr>
        <w:t xml:space="preserve">Kaveri Online (Karnataka Dept. of Stamps &amp; Registration)</w:t>
      </w:r>
    </w:p>
    <w:p>
      <w:pPr>
        <w:pStyle w:val="ListParagraph"/>
        <w:numPr>
          <w:ilvl w:val="0"/>
          <w:numId w:val="2"/>
        </w:numPr>
        <w:spacing w:after="90"/>
      </w:pPr>
      <w:r>
        <w:rPr>
          <w:rFonts w:ascii="Calibri" w:cs="Calibri" w:eastAsia="Calibri" w:hAnsi="Calibri"/>
          <w:color w:val="444444"/>
          <w:sz w:val="17"/>
          <w:szCs w:val="17"/>
        </w:rPr>
        <w:t xml:space="preserve">TNREGINET — Tamil Nadu guideline value portal</w:t>
      </w:r>
    </w:p>
    <w:p>
      <w:pPr>
        <w:pStyle w:val="ListParagraph"/>
        <w:numPr>
          <w:ilvl w:val="0"/>
          <w:numId w:val="2"/>
        </w:numPr>
        <w:spacing w:after="90"/>
      </w:pPr>
      <w:r>
        <w:rPr>
          <w:rFonts w:ascii="Calibri" w:cs="Calibri" w:eastAsia="Calibri" w:hAnsi="Calibri"/>
          <w:color w:val="444444"/>
          <w:sz w:val="17"/>
          <w:szCs w:val="17"/>
        </w:rPr>
        <w:t xml:space="preserve">The News Minute / Siasat / NewsMeter — Telangana HC–HYDRAA (Bahadurguda) coverage</w:t>
      </w:r>
    </w:p>
    <w:p>
      <w:pPr>
        <w:pStyle w:val="ListParagraph"/>
        <w:numPr>
          <w:ilvl w:val="0"/>
          <w:numId w:val="2"/>
        </w:numPr>
        <w:spacing w:after="90"/>
      </w:pPr>
      <w:r>
        <w:rPr>
          <w:rFonts w:ascii="Calibri" w:cs="Calibri" w:eastAsia="Calibri" w:hAnsi="Calibri"/>
          <w:color w:val="444444"/>
          <w:sz w:val="17"/>
          <w:szCs w:val="17"/>
        </w:rPr>
        <w:t xml:space="preserve">The Federal — Amaravati land-allotment controversy coverage</w:t>
      </w:r>
    </w:p>
    <w:p>
      <w:pPr>
        <w:pStyle w:val="ListParagraph"/>
        <w:numPr>
          <w:ilvl w:val="0"/>
          <w:numId w:val="2"/>
        </w:numPr>
        <w:spacing w:after="90"/>
      </w:pPr>
      <w:r>
        <w:rPr>
          <w:rFonts w:ascii="Calibri" w:cs="Calibri" w:eastAsia="Calibri" w:hAnsi="Calibri"/>
          <w:color w:val="444444"/>
          <w:sz w:val="17"/>
          <w:szCs w:val="17"/>
        </w:rPr>
        <w:t xml:space="preserve">NewsOnAir (All India Radio) — Andhra Pradesh Reorganisation (Amendment) Bill, 2026</w:t>
      </w:r>
    </w:p>
    <w:p>
      <w:pPr>
        <w:pStyle w:val="ListParagraph"/>
        <w:numPr>
          <w:ilvl w:val="0"/>
          <w:numId w:val="2"/>
        </w:numPr>
        <w:spacing w:after="90"/>
      </w:pPr>
      <w:r>
        <w:rPr>
          <w:rFonts w:ascii="Calibri" w:cs="Calibri" w:eastAsia="Calibri" w:hAnsi="Calibri"/>
          <w:color w:val="444444"/>
          <w:sz w:val="17"/>
          <w:szCs w:val="17"/>
        </w:rPr>
        <w:t xml:space="preserve">Republic World / Outlook India — NBR Group company profile coverage</w:t>
      </w:r>
    </w:p>
    <w:p>
      <w:pPr>
        <w:pStyle w:val="ListParagraph"/>
        <w:numPr>
          <w:ilvl w:val="0"/>
          <w:numId w:val="2"/>
        </w:numPr>
        <w:spacing w:after="90"/>
      </w:pPr>
      <w:r>
        <w:rPr>
          <w:rFonts w:ascii="Calibri" w:cs="Calibri" w:eastAsia="Calibri" w:hAnsi="Calibri"/>
          <w:color w:val="444444"/>
          <w:sz w:val="17"/>
          <w:szCs w:val="17"/>
        </w:rPr>
        <w:t xml:space="preserve">Constrofacilitator — Godrej Fund Management / Puravankara land-deal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Sarjapur JDA and Embassy Eden LOI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Brigade Whitefield-Hoskote and Adarsh Varthur project coverage</w:t>
      </w:r>
    </w:p>
    <w:p>
      <w:pPr>
        <w:pStyle w:val="ListParagraph"/>
        <w:numPr>
          <w:ilvl w:val="0"/>
          <w:numId w:val="2"/>
        </w:numPr>
        <w:spacing w:after="90"/>
      </w:pPr>
      <w:r>
        <w:rPr>
          <w:rFonts w:ascii="Calibri" w:cs="Calibri" w:eastAsia="Calibri" w:hAnsi="Calibri"/>
          <w:color w:val="444444"/>
          <w:sz w:val="17"/>
          <w:szCs w:val="17"/>
        </w:rPr>
        <w:t xml:space="preserve">Deccan Herald — Bidadi Township PIL and Bengaluru Business Corridor award coverage</w:t>
      </w:r>
    </w:p>
    <w:p>
      <w:pPr>
        <w:pStyle w:val="ListParagraph"/>
        <w:numPr>
          <w:ilvl w:val="0"/>
          <w:numId w:val="2"/>
        </w:numPr>
        <w:spacing w:after="90"/>
      </w:pPr>
      <w:r>
        <w:rPr>
          <w:rFonts w:ascii="Calibri" w:cs="Calibri" w:eastAsia="Calibri" w:hAnsi="Calibri"/>
          <w:color w:val="444444"/>
          <w:sz w:val="17"/>
          <w:szCs w:val="17"/>
        </w:rPr>
        <w:t xml:space="preserve">TheRealtyToday / BookNewProperty — Greater Bengaluru Authority governance-model coverage</w:t>
      </w:r>
    </w:p>
    <w:p>
      <w:pPr>
        <w:pStyle w:val="ListParagraph"/>
        <w:numPr>
          <w:ilvl w:val="0"/>
          <w:numId w:val="2"/>
        </w:numPr>
        <w:spacing w:after="90"/>
      </w:pPr>
      <w:r>
        <w:rPr>
          <w:rFonts w:ascii="Calibri" w:cs="Calibri" w:eastAsia="Calibri" w:hAnsi="Calibri"/>
          <w:color w:val="444444"/>
          <w:sz w:val="17"/>
          <w:szCs w:val="17"/>
        </w:rPr>
        <w:t xml:space="preserve">eauctionsindia.com / eauctioninfo.com — BDA Premium Sites e-Auction 2026 timeline</w:t>
      </w:r>
    </w:p>
    <w:p>
      <w:pPr>
        <w:pStyle w:val="ListParagraph"/>
        <w:numPr>
          <w:ilvl w:val="0"/>
          <w:numId w:val="2"/>
        </w:numPr>
        <w:spacing w:after="90"/>
      </w:pPr>
      <w:r>
        <w:rPr>
          <w:rFonts w:ascii="Calibri" w:cs="Calibri" w:eastAsia="Calibri" w:hAnsi="Calibri"/>
          <w:color w:val="444444"/>
          <w:sz w:val="17"/>
          <w:szCs w:val="17"/>
        </w:rPr>
        <w:t xml:space="preserve">Telangana Today / NewsOnAir — GHMC-ORR municipality merger coverage</w:t>
      </w:r>
    </w:p>
    <w:p>
      <w:pPr>
        <w:pStyle w:val="ListParagraph"/>
        <w:numPr>
          <w:ilvl w:val="0"/>
          <w:numId w:val="2"/>
        </w:numPr>
        <w:spacing w:after="90"/>
      </w:pPr>
      <w:r>
        <w:rPr>
          <w:rFonts w:ascii="Calibri" w:cs="Calibri" w:eastAsia="Calibri" w:hAnsi="Calibri"/>
          <w:color w:val="444444"/>
          <w:sz w:val="17"/>
          <w:szCs w:val="17"/>
        </w:rPr>
        <w:t xml:space="preserve">Star of Mysore — K-RERA Member appointment coverage</w:t>
      </w:r>
    </w:p>
    <w:p>
      <w:pPr>
        <w:pStyle w:val="ListParagraph"/>
        <w:numPr>
          <w:ilvl w:val="0"/>
          <w:numId w:val="2"/>
        </w:numPr>
        <w:spacing w:after="90"/>
      </w:pPr>
      <w:r>
        <w:rPr>
          <w:rFonts w:ascii="Calibri" w:cs="Calibri" w:eastAsia="Calibri" w:hAnsi="Calibri"/>
          <w:color w:val="444444"/>
          <w:sz w:val="17"/>
          <w:szCs w:val="17"/>
        </w:rPr>
        <w:t xml:space="preserve">Adredge — Karnataka HC Section 34/National Highways Act compensation ruling analysis</w:t>
      </w:r>
    </w:p>
    <w:p>
      <w:pPr>
        <w:pStyle w:val="ListParagraph"/>
        <w:numPr>
          <w:ilvl w:val="0"/>
          <w:numId w:val="2"/>
        </w:numPr>
        <w:spacing w:after="90"/>
      </w:pPr>
      <w:r>
        <w:rPr>
          <w:rFonts w:ascii="Calibri" w:cs="Calibri" w:eastAsia="Calibri" w:hAnsi="Calibri"/>
          <w:color w:val="444444"/>
          <w:sz w:val="17"/>
          <w:szCs w:val="17"/>
        </w:rPr>
        <w:t xml:space="preserve">NewsFirst / Deccan Herald — Bengaluru Business Corridor compensation-gap coverage</w:t>
      </w:r>
    </w:p>
    <w:p>
      <w:pPr>
        <w:pStyle w:val="ListParagraph"/>
        <w:numPr>
          <w:ilvl w:val="0"/>
          <w:numId w:val="2"/>
        </w:numPr>
        <w:spacing w:after="90"/>
      </w:pPr>
      <w:r>
        <w:rPr>
          <w:rFonts w:ascii="Calibri" w:cs="Calibri" w:eastAsia="Calibri" w:hAnsi="Calibri"/>
          <w:color w:val="444444"/>
          <w:sz w:val="17"/>
          <w:szCs w:val="17"/>
        </w:rPr>
        <w:t xml:space="preserve">Whalesbook / Business Standard — Godrej Vanantara and Godrej Woodscapes launch-week sales coverage</w:t>
      </w:r>
    </w:p>
    <w:p>
      <w:pPr>
        <w:pStyle w:val="ListParagraph"/>
        <w:numPr>
          <w:ilvl w:val="0"/>
          <w:numId w:val="2"/>
        </w:numPr>
        <w:spacing w:after="90"/>
      </w:pPr>
      <w:r>
        <w:rPr>
          <w:rFonts w:ascii="Calibri" w:cs="Calibri" w:eastAsia="Calibri" w:hAnsi="Calibri"/>
          <w:color w:val="444444"/>
          <w:sz w:val="17"/>
          <w:szCs w:val="17"/>
        </w:rPr>
        <w:t xml:space="preserve">Business Standard — Sobha stake divestment (Anamudi Real Estates/Godrej Industries Group) coverage</w:t>
      </w:r>
    </w:p>
    <w:p>
      <w:pPr>
        <w:pStyle w:val="ListParagraph"/>
        <w:numPr>
          <w:ilvl w:val="0"/>
          <w:numId w:val="2"/>
        </w:numPr>
        <w:spacing w:after="90"/>
      </w:pPr>
      <w:r>
        <w:rPr>
          <w:rFonts w:ascii="Calibri" w:cs="Calibri" w:eastAsia="Calibri" w:hAnsi="Calibri"/>
          <w:color w:val="444444"/>
          <w:sz w:val="17"/>
          <w:szCs w:val="17"/>
        </w:rPr>
        <w:t xml:space="preserve">Business Standard — Aditya Birla Real Estate / Birla Estates–Mitsubishi Estate JV coverage</w:t>
      </w:r>
    </w:p>
    <w:p>
      <w:pPr>
        <w:pStyle w:val="ListParagraph"/>
        <w:numPr>
          <w:ilvl w:val="0"/>
          <w:numId w:val="2"/>
        </w:numPr>
        <w:spacing w:after="90"/>
      </w:pPr>
      <w:r>
        <w:rPr>
          <w:rFonts w:ascii="Calibri" w:cs="Calibri" w:eastAsia="Calibri" w:hAnsi="Calibri"/>
          <w:color w:val="444444"/>
          <w:sz w:val="17"/>
          <w:szCs w:val="17"/>
        </w:rPr>
        <w:t xml:space="preserve">Whalesbook — Birla Estates–M S Ramaiah Realty (Devanahalli township) JV coverage</w:t>
      </w:r>
    </w:p>
    <w:p>
      <w:pPr>
        <w:pStyle w:val="ListParagraph"/>
        <w:numPr>
          <w:ilvl w:val="0"/>
          <w:numId w:val="2"/>
        </w:numPr>
        <w:spacing w:after="90"/>
      </w:pPr>
      <w:r>
        <w:rPr>
          <w:rFonts w:ascii="Calibri" w:cs="Calibri" w:eastAsia="Calibri" w:hAnsi="Calibri"/>
          <w:color w:val="444444"/>
          <w:sz w:val="17"/>
          <w:szCs w:val="17"/>
        </w:rPr>
        <w:t xml:space="preserve">Swarajya Mag / Asianet Newsable — Bengaluru Business Corridor compensation and Section 27 lapse-challenge coverage</w:t>
      </w:r>
    </w:p>
    <w:p>
      <w:pPr>
        <w:pStyle w:val="ListParagraph"/>
        <w:numPr>
          <w:ilvl w:val="0"/>
          <w:numId w:val="2"/>
        </w:numPr>
        <w:spacing w:after="90"/>
      </w:pPr>
      <w:r>
        <w:rPr>
          <w:rFonts w:ascii="Calibri" w:cs="Calibri" w:eastAsia="Calibri" w:hAnsi="Calibri"/>
          <w:color w:val="444444"/>
          <w:sz w:val="17"/>
          <w:szCs w:val="17"/>
        </w:rPr>
        <w:t xml:space="preserve">The News Minute — Telangana HC Army-deployment (Malkajgiri) coverage</w:t>
      </w:r>
    </w:p>
    <w:p>
      <w:pPr>
        <w:pStyle w:val="ListParagraph"/>
        <w:numPr>
          <w:ilvl w:val="0"/>
          <w:numId w:val="2"/>
        </w:numPr>
        <w:spacing w:after="90"/>
      </w:pPr>
      <w:r>
        <w:rPr>
          <w:rFonts w:ascii="Calibri" w:cs="Calibri" w:eastAsia="Calibri" w:hAnsi="Calibri"/>
          <w:color w:val="444444"/>
          <w:sz w:val="17"/>
          <w:szCs w:val="17"/>
        </w:rPr>
        <w:t xml:space="preserve">Deccan Herald — Devanahalli KIADB land-resistance and GBA election-process coverage</w:t>
      </w:r>
    </w:p>
    <w:p>
      <w:pPr>
        <w:pStyle w:val="ListParagraph"/>
        <w:numPr>
          <w:ilvl w:val="0"/>
          <w:numId w:val="2"/>
        </w:numPr>
        <w:spacing w:after="90"/>
      </w:pPr>
      <w:r>
        <w:rPr>
          <w:rFonts w:ascii="Calibri" w:cs="Calibri" w:eastAsia="Calibri" w:hAnsi="Calibri"/>
          <w:color w:val="444444"/>
          <w:sz w:val="17"/>
          <w:szCs w:val="17"/>
        </w:rPr>
        <w:t xml:space="preserve">Vault PropTech / PropNewz — e-Khata/e-Aasthi GBA auto-approval coverage</w:t>
      </w:r>
    </w:p>
    <w:p>
      <w:pPr>
        <w:pStyle w:val="ListParagraph"/>
        <w:numPr>
          <w:ilvl w:val="0"/>
          <w:numId w:val="2"/>
        </w:numPr>
        <w:spacing w:after="90"/>
      </w:pPr>
      <w:r>
        <w:rPr>
          <w:rFonts w:ascii="Calibri" w:cs="Calibri" w:eastAsia="Calibri" w:hAnsi="Calibri"/>
          <w:color w:val="444444"/>
          <w:sz w:val="17"/>
          <w:szCs w:val="17"/>
        </w:rPr>
        <w:t xml:space="preserve">BiddingPulse — BDA e-auction bidding-process mechanics</w:t>
      </w:r>
    </w:p>
    <w:p>
      <w:pPr>
        <w:pStyle w:val="ListParagraph"/>
        <w:numPr>
          <w:ilvl w:val="0"/>
          <w:numId w:val="2"/>
        </w:numPr>
        <w:spacing w:after="90"/>
      </w:pPr>
      <w:r>
        <w:rPr>
          <w:rFonts w:ascii="Calibri" w:cs="Calibri" w:eastAsia="Calibri" w:hAnsi="Calibri"/>
          <w:color w:val="444444"/>
          <w:sz w:val="17"/>
          <w:szCs w:val="17"/>
        </w:rPr>
        <w:t xml:space="preserve">Varthabharati / NewsFirst Prime — Bengaluru Business Corridor 1,000+ farmer objections and HUDCO funding-pressure coverage</w:t>
      </w:r>
    </w:p>
    <w:p>
      <w:pPr>
        <w:pStyle w:val="ListParagraph"/>
        <w:numPr>
          <w:ilvl w:val="0"/>
          <w:numId w:val="2"/>
        </w:numPr>
        <w:spacing w:after="90"/>
      </w:pPr>
      <w:r>
        <w:rPr>
          <w:rFonts w:ascii="Calibri" w:cs="Calibri" w:eastAsia="Calibri" w:hAnsi="Calibri"/>
          <w:color w:val="444444"/>
          <w:sz w:val="17"/>
          <w:szCs w:val="17"/>
        </w:rPr>
        <w:t xml:space="preserve">Proplisto / BigInfo — Puravankara land-bank and Embassy Eden (Starworth/SICL) contract coverage</w:t>
      </w:r>
    </w:p>
    <w:p>
      <w:pPr>
        <w:pStyle w:val="ListParagraph"/>
        <w:numPr>
          <w:ilvl w:val="0"/>
          <w:numId w:val="2"/>
        </w:numPr>
        <w:spacing w:after="90"/>
      </w:pPr>
      <w:r>
        <w:rPr>
          <w:rFonts w:ascii="Calibri" w:cs="Calibri" w:eastAsia="Calibri" w:hAnsi="Calibri"/>
          <w:color w:val="444444"/>
          <w:sz w:val="17"/>
          <w:szCs w:val="17"/>
        </w:rPr>
        <w:t xml:space="preserve">Company websites (adarshdevelopers.com) — Adarsh Tropica Phase II and Adarsh Rosewood launch coverage</w:t>
      </w:r>
    </w:p>
    <w:p>
      <w:pPr>
        <w:pStyle w:val="ListParagraph"/>
        <w:numPr>
          <w:ilvl w:val="0"/>
          <w:numId w:val="2"/>
        </w:numPr>
        <w:spacing w:after="90"/>
      </w:pPr>
      <w:r>
        <w:rPr>
          <w:rFonts w:ascii="Calibri" w:cs="Calibri" w:eastAsia="Calibri" w:hAnsi="Calibri"/>
          <w:color w:val="444444"/>
          <w:sz w:val="17"/>
          <w:szCs w:val="17"/>
        </w:rPr>
        <w:t xml:space="preserve">Namma Ward — GBA revised draft voter list coverage</w:t>
      </w:r>
    </w:p>
    <w:p>
      <w:pPr>
        <w:pStyle w:val="ListParagraph"/>
        <w:numPr>
          <w:ilvl w:val="0"/>
          <w:numId w:val="2"/>
        </w:numPr>
        <w:spacing w:after="90"/>
      </w:pPr>
      <w:r>
        <w:rPr>
          <w:rFonts w:ascii="Calibri" w:cs="Calibri" w:eastAsia="Calibri" w:hAnsi="Calibri"/>
          <w:color w:val="444444"/>
          <w:sz w:val="17"/>
          <w:szCs w:val="17"/>
        </w:rPr>
        <w:t xml:space="preserve">ThePrint / TheNewsMinute — Telangana HC HYDRAA-chief custody warning and GHMC consent ruling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 value gazette-notification status (14 Apr 2026 revision) coverage</w:t>
      </w:r>
    </w:p>
    <w:p>
      <w:pPr>
        <w:pStyle w:val="ListParagraph"/>
        <w:numPr>
          <w:ilvl w:val="0"/>
          <w:numId w:val="2"/>
        </w:numPr>
        <w:spacing w:after="90"/>
      </w:pPr>
      <w:r>
        <w:rPr>
          <w:rFonts w:ascii="Calibri" w:cs="Calibri" w:eastAsia="Calibri" w:hAnsi="Calibri"/>
          <w:color w:val="444444"/>
          <w:sz w:val="17"/>
          <w:szCs w:val="17"/>
        </w:rPr>
        <w:t xml:space="preserve">Company disclosures/press releases — Prestige, Brigade, Sobha, Puravankara, Godrej Properties, Embassy, Sattva, Shriram Properties, Sumadhura, Century Real Estate, Assetz, Casagrand, Adarsh Developers, Birla Estates</w:t>
      </w:r>
    </w:p>
    <w:p>
      <w:pPr>
        <w:spacing w:after="200"/>
      </w:pPr>
    </w:p>
    <w:p>
      <w:pPr>
        <w:jc w:val="center"/>
      </w:pPr>
      <w:r>
        <w:rPr>
          <w:rFonts w:ascii="Calibri" w:cs="Calibri" w:eastAsia="Calibri" w:hAnsi="Calibri"/>
          <w:i/>
          <w:iCs/>
          <w:color w:val="666666"/>
          <w:sz w:val="15"/>
          <w:szCs w:val="15"/>
        </w:rPr>
        <w:t xml:space="preserve">This digest is compiled from publicly available industry publications, regulatory portals and news sources for internal briefing purposes only. It does not constitute legal advice.</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4"/>
        <w:szCs w:val="14"/>
      </w:rPr>
      <w:t xml:space="preserve">Strictly Private &amp; Confidential — For Internal Circulation Only  |  Page </w:t>
    </w:r>
    <w:r>
      <w:rPr>
        <w:rFonts w:ascii="Calibri" w:cs="Calibri" w:eastAsia="Calibri" w:hAnsi="Calibri"/>
        <w:color w:val="666666"/>
        <w:sz w:val="14"/>
        <w:szCs w:val="14"/>
      </w:rPr>
      <w:fldChar w:fldCharType="begin"/>
      <w:instrText xml:space="preserve">PAGE</w:instrText>
      <w:fldChar w:fldCharType="separate"/>
      <w:fldChar w:fldCharType="end"/>
    </w:r>
    <w:r>
      <w:rPr>
        <w:rFonts w:ascii="Calibri" w:cs="Calibri" w:eastAsia="Calibri" w:hAnsi="Calibri"/>
        <w:color w:val="666666"/>
        <w:sz w:val="14"/>
        <w:szCs w:val="14"/>
      </w:rPr>
      <w:t xml:space="preserve"> of </w:t>
    </w:r>
    <w:r>
      <w:rPr>
        <w:rFonts w:ascii="Calibri" w:cs="Calibri" w:eastAsia="Calibri" w:hAnsi="Calibri"/>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2C" w:sz="8" w:space="4"/>
      </w:pBdr>
      <w:tabs>
        <w:tab w:val="right" w:pos="10466"/>
      </w:tabs>
    </w:pPr>
    <w:r>
      <w:rPr>
        <w:rFonts w:ascii="Calibri" w:cs="Calibri" w:eastAsia="Calibri" w:hAnsi="Calibri"/>
        <w:b/>
        <w:bCs/>
        <w:color w:val="0B2545"/>
        <w:sz w:val="15"/>
        <w:szCs w:val="15"/>
      </w:rPr>
      <w:t xml:space="preserve">NBR GROUP — Legal &amp; Land Acquisition Digest</w:t>
    </w:r>
    <w:r>
      <w:rPr>
        <w:rFonts w:ascii="Calibri" w:cs="Calibri" w:eastAsia="Calibri" w:hAnsi="Calibri"/>
        <w:color w:val="666666"/>
        <w:sz w:val="15"/>
        <w:szCs w:val="15"/>
      </w:rPr>
      <w:t xml:space="preserve">	Tuesday, 28 July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2026-07-28T03:36:43.467Z</dcterms:created>
  <dcterms:modified xsi:type="dcterms:W3CDTF">2026-07-28T03:36:43.490Z</dcterms:modified>
</cp:coreProperties>
</file>

<file path=docProps/custom.xml><?xml version="1.0" encoding="utf-8"?>
<Properties xmlns="http://schemas.openxmlformats.org/officeDocument/2006/custom-properties" xmlns:vt="http://schemas.openxmlformats.org/officeDocument/2006/docPropsVTypes"/>
</file>