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Wednesday, 23 September 2026   •   Vol. I — Edition 057</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Puravankara has entered Delhi-NCR for the first time — a 13.44-acre land parcel in Greater Noida (₹340 Cr, via subsidiary Prudential Housing and Infrastructure Development Ltd), with 4.57 msf saleable potential and ~₹5,200 Cr GDV, positioned near the Yamuna Expressway and the upcoming Noida International Airport (Jewar). This is Puravankara's largest FY27 land transaction and marks a strategic geographic diversification beyond South/West India — its FY27 business development across Delhi-NCR, Mumbai and Bengaluru now totals ~10.74 msf / ~₹14,100 Cr GDV.</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update on the Karanth Layout objections window or public-application/allotment-restraint question, no update on the Siddhartha Vihar Trust BDA complaint or the Madras HC TNRERA title-jurisdiction ruling, no fresh Karnataka HC land ruling beyond what is already on file, no update on the flagged BBC (South)/Peripheral Ring Road-2 naming-ambiguity question, no public BDA response to the original BBC Governor petition, and no developments in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(~18,400 of 34,992 total sites, per the 40:60/60:40 compensation-ratio formula) on 31 Aug 2026 at the ₹6,000/sq ft (₹64,584/sq m) rate already on file, and has now (20 Sept 2026) invited formal objections from those landowners to the proposed allotment before finalising it, with a fixed deadline after which late objections will not be considered. Separately, the same 31 Aug notification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Three distinct tracks are now running in parallel: land-giver allotment (now with a formal objection window before finalisation), a separate 2,815-site general-public application window (deadline 15 Oct) whose actual allotment remains legally restrained, and BDA's stated intent to proceed strictly by the rules once the objection deadline passes.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entered Delhi-NCR for the first time — a 13.44-acre parcel in Greater Noida (₹340 Cr, via subsidiary Prudential Housing and Infrastructure Development Ltd), 4.57 msf saleable, ~₹5,200 Cr GDV, near the Yamuna Expressway and upcoming Noida International Airport (Jewar) — its largest FY27 land transaction and a strategic geographic diversification beyond South/West India. This layers onto the 7.83-acre South-East Bengaluru/Electronic City JDA (₹1,100 Cr GDV, 5th Bengaluru deal of FY27) already on file; FY27 business development across Delhi-NCR, Mumbai and Bengaluru now totals ~10.74 msf / ~₹14,100 Cr GDV. Q1 FY27 results had already confirmed continued Bengaluru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13.44-acre / ₹340 Cr Greater Noida (Delhi-NCR maiden entry, ~₹5,200 Cr GDV); 7.83-acre / ₹1,100 Cr South-East Bengaluru JDA; FY27 multi-city total ~10.74 msf / ~₹14,100 Cr GDV; ₹1,439 Cr Q1 FY27 Bengaluru pre-sales (+28% YoY)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and its Delhi-NCR entry is the first time any Top-8 peer in this tracker has diversified outside South/West India — worth watching whether this signals a broader trend of Bengaluru-anchored developers hedging into other metros, which could eventually affect the intensity of Bengaluru land-acquisition competition NBR faces from this peer specifically.</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The Madras HC's Balakrishnan v. TNRERA ruling confirms TNRERA registration does not settle disputed land title — if NBR ever pursues a Chennai project, independent title diligence (not just confirming TNRERA registration) remains essential, since a registered project can still carry a live civil-court title dispute.</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Deccan Herald — BDA Karanth Layout 60:40 landowner-allotment objections-window coverage</w:t>
      </w:r>
    </w:p>
    <w:p>
      <w:pPr>
        <w:pStyle w:val="ListParagraph"/>
        <w:numPr>
          <w:ilvl w:val="0"/>
          <w:numId w:val="2"/>
        </w:numPr>
        <w:spacing w:after="90"/>
      </w:pPr>
      <w:r>
        <w:rPr>
          <w:rFonts w:ascii="Calibri" w:cs="Calibri" w:eastAsia="Calibri" w:hAnsi="Calibri"/>
          <w:color w:val="444444"/>
          <w:sz w:val="17"/>
          <w:szCs w:val="17"/>
        </w:rPr>
        <w:t xml:space="preserve">Bar and Bench / Verdictum / Moneylife — Madras HC N. Balakrishnan v. TNRERA (title-dispute jurisdiction) ruling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ANI — Puravankara Delhi-NCR maiden-entry Greater Noida land-deal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Wednesday, 23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2026-09-23T03:44:18.620Z</dcterms:created>
  <dcterms:modified xsi:type="dcterms:W3CDTF">2026-09-23T03:44:18.630Z</dcterms:modified>
</cp:coreProperties>
</file>

<file path=docProps/custom.xml><?xml version="1.0" encoding="utf-8"?>
<Properties xmlns="http://schemas.openxmlformats.org/officeDocument/2006/custom-properties" xmlns:vt="http://schemas.openxmlformats.org/officeDocument/2006/docPropsVTypes"/>
</file>