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Monday, 31 August 2026   •   Vol. I — Edition 035</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BDA begins actual site allotment in the Dr K Shivaram Karanth Layout TODAY (31 Aug) — the long-delayed North Bengaluru layout's first concrete distribution step, with ~18,000 of the 34,992 planned sites reserved for ~3,200 land-giving farmers/landowners first; public applications are expected to follow, subject to Chief Minister approval. Confirms the ₹6,000/sq ft pricing (~₹72 lakh for a standard 30x40 site) already on file is now operative, not just proposed.</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Andhra Pradesh has ordered a fresh 20,494-acre second-phase land-pooling round for Amaravati (16,562.56 acres patta land, 104.01 acres assigned land, 3,828.30 acres government land across 7 villages) for an expanded International Sports City (now 2,500 acres, up from 70), a greenfield international airport, a new railway station and the Inner Ring Road — a substantial escalation beyond the 2,344-acre round already on file.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stretch: no new Grade A/mid-tier Bengaluru land deal, no fresh Karnataka HC land ruling since the Lalitha S. GST-compensation decision, no public BDA response to the BBC Governor petition, and no new NBR-specific news since the last edition.</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today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7-storey building collapse in Anjaiah Nagar, Gachibowli killed 2 workers, prompting Commissioner Ranganath to order identification and demolition of unsafe buildings citywide — notable because this building-safety drive is proceeding even while the Telangana HC's broader SOP-conditioned restraint on HYDRAA's encroachment-linked demolitions remains in force, suggesting the two enforcement tracks (structural safety vs. encroachment) are being treated as legally distinct. This layers onto the ₹72 Cr HYDRAA funding tranche, Ranganath's public land-mafia allegations (Lothukunta case), the G.O.Ms.No.218 HMDA TDR geographic-flexibility amendment, TG RERA's realtor penalties,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building-safety drive proceeding in parallel with the demolition restraint is a useful clarification: HYDRAA's enforcement posture is not uniformly paused — a structural-safety hazard can still trigger immediate demolition action distinct from the encroachment-enforcement track courts have restrained. NBR should not assume any HYDRAA-adjacent Hyderabad asset is fully insulated from action merely because the encroachment-demolition SOP is still pending.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Monday, 31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2026-08-31T03:35:58.494Z</dcterms:created>
  <dcterms:modified xsi:type="dcterms:W3CDTF">2026-08-31T03:35:58.509Z</dcterms:modified>
</cp:coreProperties>
</file>

<file path=docProps/custom.xml><?xml version="1.0" encoding="utf-8"?>
<Properties xmlns="http://schemas.openxmlformats.org/officeDocument/2006/custom-properties" xmlns:vt="http://schemas.openxmlformats.org/officeDocument/2006/docPropsVTypes"/>
</file>