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Saturday, 8 August 2026   •   Vol. I — Edition 018</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Andhra Pradesh has set its first firm capital-delivery target: Amaravati's Phase 1 is now due for completion by August 2028, with APCRDA running Gram Sabhas across capital-region villages (since 4 Aug) to finalise the Master Plan and village-road network ahead of a government-set land-pooling completion timeline.</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Telangana's HYDRAA saga has widened beyond the commissioner-removal order: the High Court's order rests on 63 pending contempt petitions against Commissioner Ranganath, and a separate Section 22A land-freeze designation is now stalling property transactions and drawing builder/developer concern across Hyderabad and neighbouring districts.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Kerala's 2026-27 Budget has formalised "Land Reforms 2.0" — a comprehensive review of the Land Reforms Act, 1963 and related statutes (digitisation, procedural simplification, dispute resolution) via a high-level expert committee due to report within 6 months; opposition has flagged concern over possible dilution of pro-farmer provisions.</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day on the core Bengaluru front: no new NBR-specific news, Karnataka guidance-value notification, fresh Grade A/mid-tier land deal, or new Karnataka HC land ruling since yesterday. The B-Khata→A-Khata window closes in just over two weeks (23 Aug).</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concrete transition date has now emerged: GBA is set to formally replace BBMP from 2 September 2026, with Maheshwar Rao named as the incoming commissioner — the first firm milestone since the Supreme Court's 30 June 2026 completion deadline passed without a confirmed poll date. This sits alongside the revised draft voter list (88.92 lakh voters, 5 corporations, 369 wards, 8,024 polling stations) and the government's dismissal of "delay" claims over the proposed 650+-member nomination process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 September handover date gives NBR a firm near-term marker for when civic-service, property-tax and governance responsibility formally shifts to the five-corporation structure — flag any pending NBR filings (khata, tax, approvals) that should be lodged with BBMP before the cutover rather than risk being caught mid-transition. Elections themselves remain a separate, still-unconfirmed timeline.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revised the corridor's land-use plan: the road itself stays at 65m width (matching the Bengaluru-Mysuru highway), but a further 35m strip once earmarked for commercial acquisition is now being handed BACK to farmers rather than acquired — shrinking the total acquisition footprint versus the plan on file. A fresh 2-month public-objection window has been opened, and over 1,000 objections have already been submitted from farmers across the 74 km stretch on both legality and compensation grounds. This sits alongside the ~₹8,385/sq ft commercial-plot compensation rate and ₹2.50–15.60 Cr/acre residential range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the most tangible pro-landowner concession on the corridor to date — a genuine reduction in acquisition footprint, not just a compensation-rate adjustment. Re-run any BBC-adjacent parcel economics assuming a narrower final acquisition width, but continue tracking the objection window (2 months from opening) before treating the revised plan as final.</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Outright purchase of a 2-acre parcel on Kanakapura Road, South Bengaluru (~₹400 Cr GDV) — its third distinct Bengaluru land move on file, alongside the Whitefield-Hoskote mixed-use development (₹5,200 Cr GDV) and Malur plotted development, plus the Prestige JV on Old Madras Road and Gunjur JDA.</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~123 acres FY26; Whitefield-Hoskote alone valued at ₹5,200 Cr GDV; new Kanakapura Road parcel ~₹400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spreading bets across South (Kanakapura Road), East (Whitefield-Hoskote) and outer (Malur) Bengaluru simultaneously — a broader geographic spread than most peers tracked, worth noting when assessing where competitive pressure will land next for NBR.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further JDA — ₹1,300 Cr, 4 acres on Hennur Road, North Bengaluru, 0.84 msf saleable, launch targeted within 12 months — its sixth-plus fresh Bengaluru land move on file, alongside the SICL third-party construction contracts (Sattva AANGANE ₹311.18 Cr, Embassy Eden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~124 acres across 7 recent land deals; new ₹1,300 Cr / 4-acre Hennur Road JDA;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a new land move roughly every few editions, on top of its construction-services diversification through SICL.</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GBA's confirmed 2 September handover date is a firm near-term marker — flag any pending NBR khata, tax or approval filings that should be lodged with BBMP before the cutover rather than risk them being caught mid-transition.</w:t>
      </w:r>
    </w:p>
    <w:p>
      <w:pPr>
        <w:pStyle w:val="ListParagraph"/>
        <w:numPr>
          <w:ilvl w:val="0"/>
          <w:numId w:val="2"/>
        </w:numPr>
        <w:spacing w:after="90"/>
      </w:pPr>
      <w:r>
        <w:rPr>
          <w:rFonts w:ascii="Calibri" w:cs="Calibri" w:eastAsia="Calibri" w:hAnsi="Calibri"/>
          <w:color w:val="1A1A1A"/>
          <w:sz w:val="19"/>
          <w:szCs w:val="19"/>
        </w:rPr>
        <w:t xml:space="preserve">BDA's BBC land-use revision (65m road, 35m strip returned to farmers) remains the strongest pro-landowner signal on this corridor — continue re-running BBC-adjacent parcel economics on a narrower acquisition footprint, but hold off treating it as final until the 2-month objection window closes.</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over two weeks from closing (23 Aug), fast-track conversion filings for any NBR-held or under-acquisition B-Khata parcels — this should be treated as a near-term legal-team deadline, not a background item.</w:t>
      </w:r>
    </w:p>
    <w:p>
      <w:pPr>
        <w:pStyle w:val="ListParagraph"/>
        <w:numPr>
          <w:ilvl w:val="0"/>
          <w:numId w:val="2"/>
        </w:numPr>
        <w:spacing w:after="90"/>
      </w:pPr>
      <w:r>
        <w:rPr>
          <w:rFonts w:ascii="Calibri" w:cs="Calibri" w:eastAsia="Calibri" w:hAnsi="Calibri"/>
          <w:color w:val="1A1A1A"/>
          <w:sz w:val="19"/>
          <w:szCs w:val="19"/>
        </w:rPr>
        <w:t xml:space="preserve">The softened Land Reforms penalty (jail term replaced by a flat ₹1 lakh civil fine for unconverted non-agricultural use) lowers personal-liability stakes for NBR's own land team, but also lowers the deterrent for informal conversions by smaller landholders NBR may be acquiring from — factor this into title/conversion-history diligence on outstation parcels.</w:t>
      </w:r>
    </w:p>
    <w:p>
      <w:pPr>
        <w:pStyle w:val="ListParagraph"/>
        <w:numPr>
          <w:ilvl w:val="0"/>
          <w:numId w:val="2"/>
        </w:numPr>
        <w:spacing w:after="90"/>
      </w:pPr>
      <w:r>
        <w:rPr>
          <w:rFonts w:ascii="Calibri" w:cs="Calibri" w:eastAsia="Calibri" w:hAnsi="Calibri"/>
          <w:color w:val="1A1A1A"/>
          <w:sz w:val="19"/>
          <w:szCs w:val="19"/>
        </w:rPr>
        <w:t xml:space="preserve">Confirm NBR has no outstanding demand traceable to the now-struck-down K-RERA retroactive-delay-fee circular — the ruling invalidated the circular itself, not just one developer's case, so it applies across the board.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Sumadhura's second East Bengaluru land move in two weeks (₹3,500 Cr / 17-acre Whitefield-Kannamangala JDA, on top of its ~₹5,000 Cr 3-year investment plan) confirms it has stepped up from the smaller-launch pattern tracked earlier — reassess whether NBR's mid-tier competitive tiering still reflects Sumadhura's actual scale.</w:t>
      </w:r>
    </w:p>
    <w:p>
      <w:pPr>
        <w:pStyle w:val="ListParagraph"/>
        <w:numPr>
          <w:ilvl w:val="0"/>
          <w:numId w:val="2"/>
        </w:numPr>
        <w:spacing w:after="90"/>
      </w:pPr>
      <w:r>
        <w:rPr>
          <w:rFonts w:ascii="Calibri" w:cs="Calibri" w:eastAsia="Calibri" w:hAnsi="Calibri"/>
          <w:color w:val="1A1A1A"/>
          <w:sz w:val="19"/>
          <w:szCs w:val="19"/>
        </w:rPr>
        <w:t xml:space="preserve">Puravankara's ₹1,300 Cr Hennur Road JDA remains the most recent of its sixth-plus fresh Bengaluru land moves tracked in this digest — still the benchmark for the most consistently acquisitive Grade A peer.</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has been thrown into a governance vacuum: its chairperson and two members resigned, and the state government has installed a three-member interim panel (K. Phanindra Reddy — retired IAS, chairperson; A. Nazir Ahamed — retired district judge; Reeta Harish Thakkar — retired IAS) to run the Authority for 6 months from 14 Jul 2026. This sits alongside the Jan 2026 guideline-value revision (OMR/ECR/GST Road corridors) and 11% all-in stamp duty + registration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regulator running on an interim panel — even a credentialed one — is a genuine governance-continuity risk if NBR ever pursues a Chennai entry or JV; treat any TNRERA approval or registration sought during this 6-month window as subject to extra follow-up once permanent leadership is restored.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HC's 1 Aug 2026 HYDRAA-commissioner removal order is now shown to rest on 63 pending contempt-of-court petitions against Ranganath, against a backdrop of continued public protests in his support and a CM pledge that the anti-encroachment drive continues regardless. Separately, and distinctly, a Section 22A land-freeze designation (Registration Act) is now stalling property transactions and drawing builder/developer concern for lack of prior notice across Hyderabad and neighbouring districts — layering onto the HYDRAA-land-monetisation (HMDA/TGIIC auction) plan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Section 22A designations are a fresh, distinct diligence risk beyond the HYDRAA leadership question — any Hyderabad parcel diligence must now separately check Section 22A flag status, since a flagged parcel can have registration/transfer stalled without prior notice to the owner.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set its first firm capital-delivery target — Amaravati's Phase 1 build-out is due for completion by August 2028, per Minister Ponguru Narayana. APCRDA has begun a fresh round of Gram Sabhas across capital-region villages (since 4 Aug) to finalise the Master Plan and village-road network ahead of a government-set land-pooling completion timeline; Tadikonda and Mothadaka farmers have agreed in principle to the Land Pooling Scheme, while Kantheru farmers have sought more time. This layers onto the 20,494-acre acquisition breakdown (16,562+ acres from private patta holders)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August 2028 target gives NBR a concrete multi-year horizon for when Amaravati's core infrastructure should be substantially complete — useful for framing any long-horizon AP market-entry discussion, though land-pooling consent (Kantheru still undecided) remains the near-term watch item, not the completion date itself.</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2026-27 Budget has formalised the previously reported land-law committee proposal into a named initiative — "Land Reforms 2.0" — a comprehensive review of the Kerala Land Reforms Act, 1963 and related statutes covering digitisation, procedural simplification and dispute resolution, via a high-level expert committee due to report within 6 months; opposition parties have welcomed the concept but flagged concern over possible dilution of pro-farmer provisions.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2.0 is still a review-stage initiative, not yet actionable, but the named committee and 6-month reporting deadline give NBR's legal team a concrete timeline to track for potential impact on assignment-land conversions, if Kerala is ever on the roadmap.</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Section 22A land-freeze designations are a fresh, distinct Hyderabad diligence risk beyond the HYDRAA leadership question — any Hyderabad parcel diligence should now separately check Section 22A flag status given builders' reports of stalled transactions without prior notice.</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The HYDRAA-commissioner removal order's basis (63 pending contempt petitions) and continued public pushback both suggest a protracted resolution — treat Hyderabad's regulatory posture as unsettled rather than assume either a softer or harsher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Kerala's "Land Reforms 2.0" now has a named committee and 6-month reporting deadline — track its recommendations given potential impact on assignment-land conversion rules in that state.</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after its chairperson and two members resigned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Saturday, 8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2026-08-08T03:36:46.864Z</dcterms:created>
  <dcterms:modified xsi:type="dcterms:W3CDTF">2026-08-08T03:36:46.879Z</dcterms:modified>
</cp:coreProperties>
</file>

<file path=docProps/custom.xml><?xml version="1.0" encoding="utf-8"?>
<Properties xmlns="http://schemas.openxmlformats.org/officeDocument/2006/custom-properties" xmlns:vt="http://schemas.openxmlformats.org/officeDocument/2006/docPropsVTypes"/>
</file>