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Thursday, 6 August 2026   •   Vol. I — Edition 016</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1E7B34"/>
          <w:sz w:val="19"/>
          <w:szCs w:val="19"/>
        </w:rPr>
        <w:t xml:space="preserve">[HIGH]  </w:t>
      </w:r>
      <w:r>
        <w:rPr>
          <w:rFonts w:ascii="Calibri" w:cs="Calibri" w:eastAsia="Calibri" w:hAnsi="Calibri"/>
          <w:color w:val="1A1A1A"/>
          <w:sz w:val="19"/>
          <w:szCs w:val="19"/>
        </w:rPr>
        <w:t xml:space="preserve">BDA has revised the Bengaluru Business Corridor's land-use plan — the road corridor stays at 65m (matching the Bengaluru-Mysuru highway width) while a 35m strip is being handed BACK to farmers rather than acquired for commercial use, effectively shrinking the total acquisition footprint. Public objections are invited over a 2-month window.</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Puravankara has signed a further JDA — ₹1,300 Cr, 4 acres on Hennur Road, North Bengaluru, 0.84 msf, launch within 12 months — its sixth-plus fresh Bengaluru land move flagged in this digest, reinforcing it as the most consistently acquisitive Grade A peer tracked.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 HC has upheld an order directing a Bengaluru developer to refund ~₹1.77 lakh with interest to homebuyers — a small case, but a continued data point on active RERA refund enforcement.</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new NBR-specific news, Karnataka guidance-value gazette notification, or fresh mid-tier land deals since yesterday; the B-Khata→A-Khata window closes in just over two weeks (23 Aug).</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revised the corridor's land-use plan: the road itself stays at 65m width (matching the Bengaluru-Mysuru highway), but a further 35m strip once earmarked for commercial acquisition is now being handed BACK to farmers rather than acquired — shrinking the total acquisition footprint versus the plan on file. A fresh 2-month public-objection window has been opened, and over 1,000 objections have already been submitted from farmers across the 74 km stretch on both legality and compensation grounds. This sits alongside the ~₹8,385/sq ft commercial-plot compensation rate and ₹2.50–15.60 Cr/acre residential range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the most tangible pro-landowner concession on the corridor to date — a genuine reduction in acquisition footprint, not just a compensation-rate adjustment. Re-run any BBC-adjacent parcel economics assuming a narrower final acquisition width, but continue tracking the objection window (2 months from opening) before treating the revised plan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worth noting when assessing where competitive pressure will land next for NBR.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further JDA — ₹1,300 Cr, 4 acres on Hennur Road, North Bengaluru, 0.84 msf saleable, launch targeted within 12 months — its sixth-plus fresh Bengaluru land move on file, alongside the SICL third-party construction contracts (Sattva AANGANE ₹311.18 Cr, Embassy Eden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~124 acres across 7 recent land deals; new ₹1,300 Cr / 4-acre Hennur Road JDA;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a new land move roughly every few editions, on top of its construction-services diversification through SICL.</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Group entity Sumadhura Infracon has announced a ~₹5,000 Cr (₹50 billion) investment plan over the next three years — a step-change beyond the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BDA's BBC land-use revision (65m road, 35m strip returned to farmers) is the strongest pro-landowner signal yet on this corridor — re-run BBC-adjacent parcel economics assuming a narrower final acquisition footprint, but hold off treating it as final until the 2-month objection window closes and the 1,000+ objections already filed are resolved.</w:t>
      </w:r>
    </w:p>
    <w:p>
      <w:pPr>
        <w:pStyle w:val="ListParagraph"/>
        <w:numPr>
          <w:ilvl w:val="0"/>
          <w:numId w:val="2"/>
        </w:numPr>
        <w:spacing w:after="90"/>
      </w:pPr>
      <w:r>
        <w:rPr>
          <w:rFonts w:ascii="Calibri" w:cs="Calibri" w:eastAsia="Calibri" w:hAnsi="Calibri"/>
          <w:color w:val="1A1A1A"/>
          <w:sz w:val="19"/>
          <w:szCs w:val="19"/>
        </w:rPr>
        <w:t xml:space="preserve">Casagrand's Sarjapur Road luxury launch remains the fourth-plus Grade A/mid-tier entrant flagged inside NBR's home corridor in recent weeks (after Puravankara, Godrej, Adarsh, Assetz) — this pace of entry should continue to factor into near-term pricing and launch-timing decisions on any NBR Sarjapur project.</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over two weeks from closing (23 Aug), fast-track conversion filings for any NBR-held or under-acquisition B-Khata parcels — this should be treated as a near-term legal-team deadline, not a background item.</w:t>
      </w:r>
    </w:p>
    <w:p>
      <w:pPr>
        <w:pStyle w:val="ListParagraph"/>
        <w:numPr>
          <w:ilvl w:val="0"/>
          <w:numId w:val="2"/>
        </w:numPr>
        <w:spacing w:after="90"/>
      </w:pPr>
      <w:r>
        <w:rPr>
          <w:rFonts w:ascii="Calibri" w:cs="Calibri" w:eastAsia="Calibri" w:hAnsi="Calibri"/>
          <w:color w:val="1A1A1A"/>
          <w:sz w:val="19"/>
          <w:szCs w:val="19"/>
        </w:rPr>
        <w:t xml:space="preserve">The K-RERA refund pattern now spans claims from ₹1.77 lakh to ₹79.84 lakh, all upheld on appeal — budget for refund/interest exposure as a near-certain outcome once any K-RERA order is upheld, rather than assuming smaller claims will lapse.</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new ₹1,300 Cr Hennur Road JDA is its sixth-plus fresh Bengaluru land move tracked in this digest — reconfirm it as the most consistently acquisitive Grade A peer when benchmarking NBR's own land-acquisition cadence.</w:t>
      </w:r>
    </w:p>
    <w:p>
      <w:pPr>
        <w:pStyle w:val="ListParagraph"/>
        <w:numPr>
          <w:ilvl w:val="0"/>
          <w:numId w:val="2"/>
        </w:numPr>
        <w:spacing w:after="90"/>
      </w:pPr>
      <w:r>
        <w:rPr>
          <w:rFonts w:ascii="Calibri" w:cs="Calibri" w:eastAsia="Calibri" w:hAnsi="Calibri"/>
          <w:color w:val="1A1A1A"/>
          <w:sz w:val="19"/>
          <w:szCs w:val="19"/>
        </w:rPr>
        <w:t xml:space="preserve">Sattva's 50-acre/₹8,600 Cr township and Sumadhura Infracon's ~₹5,000 Cr 3-year investment plan both mark a step-change from smaller individual launches previously tracked — reassess whether NBR's Grade A/mid-tier competitive tiering still reflects these two peers' actual scale.</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moved from asking the Chief Secretary to consider replacing HYDRAA Commissioner Ranganath to directly ORDERING his removal (1 Aug 2026) over repeat contemptuous violations of court orders — the clearest resolution yet of the week-long escalation, against a backdrop of Hyderabad's 14% YoY residential registration decline (Jan 2026) and the HC's ruling that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removal order is a more concrete governance outcome than the ambiguous "replacement request" reported earlier this week — NBR should watch for the successor's enforcement posture, as a leadership change could shift HYDRAA's approach (for better or worse) on any Hyderabad parcel under diligence.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commissioner has now been formally ordered removed — a genuine governance reset for Hyderabad's enforcement posture, though direction (stricter or laxer under new leadership) is not yet known; hold off recalibrating Hyderabad risk assumptions until the successor's approach becomes clear.</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regardless of HYDRAA's leadership — institutional risk outlasts any single commissioner.</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Thursday, 6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2026-08-06T03:40:30.818Z</dcterms:created>
  <dcterms:modified xsi:type="dcterms:W3CDTF">2026-08-06T03:40:30.837Z</dcterms:modified>
</cp:coreProperties>
</file>

<file path=docProps/custom.xml><?xml version="1.0" encoding="utf-8"?>
<Properties xmlns="http://schemas.openxmlformats.org/officeDocument/2006/custom-properties" xmlns:vt="http://schemas.openxmlformats.org/officeDocument/2006/docPropsVTypes"/>
</file>