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Monday, 21 September 2026   •   Vol. I — Edition 055</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news day across every tracked thread: no update on the Karanth Layout objections window or public-application/allotment-restraint question, no update on the Siddhartha Vihar Trust BDA complaint or the Madras HC TNRERA title-jurisdiction ruling, no new Grade A/mid-tier Bengaluru land deal, no fresh Karnataka HC land ruling beyond what is already on file, no update on the flagged BBC (South)/Peripheral Ring Road-2 naming-ambiguity question, no public BDA response to the original BBC Governor petition, and no developments in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Public Applications Open (Allotment Still Restrained)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began actual site allotment to ~3,200 land-giving farmers/landowners (~18,400 of 34,992 total sites, per the 40:60/60:40 compensation-ratio formula) on 31 Aug 2026 at the ₹6,000/sq ft (₹64,584/sq m) rate already on file, and has now (20 Sept 2026) invited formal objections from those landowners to the proposed allotment before finalising it, with a fixed deadline after which late objections will not be considered. Separately, the same 31 Aug notification opened general-public applications for 2,815 further sites, with the online window running until 15 Oct 2026, 12 noon — following a Karnataka HC special-bench order (Justices M. Nagaprasanna and T. Venkatesh Naik) permitting BDA to accept applications while expressly clarifying that doing so does NOT amount to permission for actual allotment, which remains restrained pending further court orders.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Three distinct tracks are now running in parallel: land-giver allotment (now with a formal objection window before finalisation), a separate 2,815-site general-public application window (deadline 15 Oct) whose actual allotment remains legally restrained, and BDA's stated intent to proceed strictly by the rules once the objection deadline passes. NBR should not assume the public-application phase converts into confirmed site supply on any fixed timeline — track the HC's further orders before treating these 2,815 sites as a firm future supply/comparable data point.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The Madras HC's Balakrishnan v. TNRERA ruling confirms TNRERA registration does not settle disputed land title — if NBR ever pursues a Chennai project, independent title diligence (not just confirming TNRERA registration) remains essential, since a registered project can still carry a live civil-court title dispute.</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The Hans India / KannadaTick / eauctionsindia.com — Karnataka HC order permitting BDA Shivaram Karanth Layout public applications (2,815 sites, deadline 15 Oct 2026) coverage</w:t>
      </w:r>
    </w:p>
    <w:p>
      <w:pPr>
        <w:pStyle w:val="ListParagraph"/>
        <w:numPr>
          <w:ilvl w:val="0"/>
          <w:numId w:val="2"/>
        </w:numPr>
        <w:spacing w:after="90"/>
      </w:pPr>
      <w:r>
        <w:rPr>
          <w:rFonts w:ascii="Calibri" w:cs="Calibri" w:eastAsia="Calibri" w:hAnsi="Calibri"/>
          <w:color w:val="444444"/>
          <w:sz w:val="17"/>
          <w:szCs w:val="17"/>
        </w:rPr>
        <w:t xml:space="preserve">Deccan Herald — BDA Karanth Layout 60:40 landowner-allotment objections-window coverage</w:t>
      </w:r>
    </w:p>
    <w:p>
      <w:pPr>
        <w:pStyle w:val="ListParagraph"/>
        <w:numPr>
          <w:ilvl w:val="0"/>
          <w:numId w:val="2"/>
        </w:numPr>
        <w:spacing w:after="90"/>
      </w:pPr>
      <w:r>
        <w:rPr>
          <w:rFonts w:ascii="Calibri" w:cs="Calibri" w:eastAsia="Calibri" w:hAnsi="Calibri"/>
          <w:color w:val="444444"/>
          <w:sz w:val="17"/>
          <w:szCs w:val="17"/>
        </w:rPr>
        <w:t xml:space="preserve">Bar and Bench / Verdictum / Moneylife — Madras HC N. Balakrishnan v. TNRERA (title-dispute jurisdiction) ruling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Monday, 21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2026-09-21T03:48:54.466Z</dcterms:created>
  <dcterms:modified xsi:type="dcterms:W3CDTF">2026-09-21T03:48:54.467Z</dcterms:modified>
</cp:coreProperties>
</file>

<file path=docProps/custom.xml><?xml version="1.0" encoding="utf-8"?>
<Properties xmlns="http://schemas.openxmlformats.org/officeDocument/2006/custom-properties" xmlns:vt="http://schemas.openxmlformats.org/officeDocument/2006/docPropsVTypes"/>
</file>