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6 September 2026   •   Vol. I — Edition 040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JLL data for the quarter ended June 2026 shows Bengaluru's unsold housing inventory has crossed Mumbai's for the first time — ~84,000 unsold units, a 32-month inventory overhang, now India's second-highest after the NCR. This is a market-level demand-supply signal distinct from the land-acquisition/regulatory threads normally tracked here, and worth factoring into NBR's own absorption-rate and launch-pacing assumptions.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ruling since the Amit Garg K-RERA Registry decision, no public BDA response to the BBC Governor petition, no update on the GBA/SIR election timeline,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6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2026-09-06T03:34:40.144Z</dcterms:created>
  <dcterms:modified xsi:type="dcterms:W3CDTF">2026-09-06T03:34:40.157Z</dcterms:modified>
</cp:coreProperties>
</file>

<file path=docProps/custom.xml><?xml version="1.0" encoding="utf-8"?>
<Properties xmlns="http://schemas.openxmlformats.org/officeDocument/2006/custom-properties" xmlns:vt="http://schemas.openxmlformats.org/officeDocument/2006/docPropsVTypes"/>
</file>