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25 August 2026   •   Vol. I — Edition 032</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Godrej Properties has acquired a further ~3.8 acres on Sarjapur Road, South Bengaluru (~₹2,400 Cr revenue potential) — combined with land it already holds in the same pocket, this creates a 30-acre tract (~3 million sq ft, ~₹3,500 Cr total revenue potential), reinforcing Sarjapur Road (inside NBR's core corridor) as Godrej's most active current Bengaluru assembly.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Sumadhura Group has outlined plans for 6 new residential projects across Bengaluru — a ~₹6,000 Cr investment for ~4,000 apartments/plots across ~90 acres — a materially larger stated pipeline than the 17-acre Whitefield-Kannamangala JDA and 40-acre pipeline already on file.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A 7-storey building collapse in Anjaiah Nagar, Gachibowli (Hyderabad) killed 2 workers, prompting HYDRAA Commissioner Ranganath to order a fresh unsafe-building identification and demolition drive — notable because it runs alongside, not instead of, the Telangana HC's still-pending SOP-conditioned restraint on HYDRAA's broader demolition activity.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and no new Karnataka HC land ruling since the Lalitha S. GST-compensation decision; a fresh BDA e-auction round (69 sites across Anjanapura Township, Arkavathy Layout, Banashankari 6th Stage and Sir M. Visvesvaraya Layout) continues the ongoing site-supply cadence. No new NBR-specific news since the last edition.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Price Hike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raised the price of sites in the 3,069-acre Dr K Shivaram Karanth Layout (North Bengaluru, ~34,000 sites eventually planned) to ₹6,000/sq ft — a ~22% hike from the ₹4,900/sq ft rate fixed in late 2023, making a standard 30x40 site cost ~₹72 lakh. Allotment will proceed in two phases (first phase ~3,000 sites) owing to ongoing legal proceedings.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~22% BDA site-price hike in a major North Bengaluru layout is a useful fresh benchmark for guidance-value trajectory in that corridor — factor it into comparative land-cost assumptions for any NBR parcel evaluation near Karanth Layout, and note that a large public-land supply (34,000 sites eventually) is still working through legal proceedings before full release.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Godrej's fresh ~3.8-acre Sarjapur Road acquisition (30-acre combined tract) and Sumadhura's ~₹6,000 Cr / 90-acre / 6-project Bengaluru pipeline are the two most concrete land-banking data points this week — both peers are compounding existing corridor positions rather than opening new ones,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The Supreme Court (14 Aug 2026) declined to interfere with the AP High Court's quashing of a 2021 criminal case against Chief Minister Chandrababu Naidu and former minister Ponguru Narayana over alleged Amaravati land-pooling irregularities — removing a lingering legal cloud over the scheme's leadership. This adds to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plus the Supreme Court clearing the CM's legal exposure over the scheme confirms Amaravati's capital build-out remains an active, legally de-risked, multi-front effort rather than stalled — still not an actionable NBR opportunity given no Karnataka/Bengaluru nexus, but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25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2026-08-25T03:36:21.691Z</dcterms:created>
  <dcterms:modified xsi:type="dcterms:W3CDTF">2026-08-25T03:36:21.707Z</dcterms:modified>
</cp:coreProperties>
</file>

<file path=docProps/custom.xml><?xml version="1.0" encoding="utf-8"?>
<Properties xmlns="http://schemas.openxmlformats.org/officeDocument/2006/custom-properties" xmlns:vt="http://schemas.openxmlformats.org/officeDocument/2006/docPropsVTypes"/>
</file>