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Sunday, 16 August 2026   •   Vol. I — Edition 026</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A new Hyderabad-Amaravati-Chennai bullet train (high-speed rail) corridor — 760 km, 18 stations, ~₹2.24 lakh Cr — has been detailed as part of the Union Budget 2026-27's seven new HSR corridors, cutting across Telangana (180 km), Andhra Pradesh (518 km, incl. Amaravati, Guntur, Nellore, Tirupati stations) and Tamil Nadu (61 km, incl. Chennai). NHSRCL has begun DPR work (targeted for completion by March 2027); land acquisition, funding and construction programme are still to be finalised.</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No public BDA response yet to the BBC Governor petition or the Madavara High Court petition; Phase 1 land acquisition remains at ~83% complete.</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A quiet Sunday otherwise: no new NBR-specific news, fresh Grade A/mid-tier Bengaluru land deal, or new Karnataka HC ruling since yesterday.</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Two separate tracks are now clearly diverging: administrative handover (GBA formally replacing BBMP from 2 September 2026, Maheshwar Rao as incoming commissioner) remains on schedule, but civic ELECTIONS have been pushed back a third time — the Supreme Court extended the poll deadline from 31 August to 31 December 2026, citing the ongoing Special Intensive Revision (SIR) of electoral rolls (concluding only by November), with a stern warning against further delay. Karnataka BJP has filed a separate SC plea alleging the state government deliberately delayed polls fearing electoral loss.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NBR should treat the 2 September administrative handover as the operative near-term date for khata/tax/approval filings, but now expect elected local governance (and any associated policy shifts) to remain unsettled until at least December 2026 — a materially longer governance-uncertainty window than previously assumed. The BJP's political challenge adds a layer of uncertainty to whether even the December deadline holds.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Conversion charge remains cut from 5% to 2% of guidance value for the special window (15 May – 23 Aug 2026) — now roughly one month from closing.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Fast-track conversion for any NBR-held or under-acquisition B-Khata parcels; with ~4 weeks left, this should now be treated as a near-term legal-team deadline, not a background item.</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13th BDA e-auction this year (175 sites), following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when calibrating its own near-term absorption-rate assumptions.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confirm continued acquisition momentum on top of the Hennur Road JDA already on file: pre-sales rose 28% YoY to ₹1,439 Cr, collections +40% YoY to ₹1,199 Cr, average price realisation +18% YoY (₹10,589/sq ft), and 4 fresh land transactions (~41.93 acres, ~4.23 msf, ₹5,200 Cr GDV) were signed during the quarter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₹1,439 Cr Q1 FY27 pre-sales (+28% YoY); 4 new land deals/41.93 acres/₹5,200 Cr GDV in the quarter; 25.61 msf Bengaluru land bank; SICL holds ₹444.5 Cr+ in third-party construction contracts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now with a strong Q1 FY27 print to match — reinforces it as a benchmark for both land-acquisition cadence and price-realisation growth.</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(Apr-Jun 2026, reported 4 Aug) confirm the Bengaluru momentum already on file was no launch-week blip: national sales bookings hit a record ₹8,651 Cr (+22% YoY, its highest-ever Q1), with Bengaluru alone contributing 44% (~₹3,800 Cr) led by the Godrej Vanantara launch (₹3,237 Cr) — on top of Godrej Woodscapes (Whitefield-Budigere Cross, 2,000+ homes / ₹3,150 Cr+)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₹8,651 Cr Q1 FY27 national bookings (+22% YoY), Bengaluru = 44% share (~₹3,800 Cr); 17 deals / 443.5 acres FY26 Bengaluru-area land run; ₹29,444 Cr FY24-25 national bookings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confirmed 44% Bengaluru share of a record national quarter is the strongest evidence yet that Godrej's growth is disproportionately Bengaluru-driven — reinforces it as the benchmark to watch most closely for both pricing and absorption-rate comparisons, though the falling profit margin despite rising bookings is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fresh ₹600 Cr Yelahanka row-housing JDA (7 acres) flagged yesterday.</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Shriram's multi-city diversification (adding Pune) alongside its Bengaluru row-housing move suggests it is pursuing growth on two fronts simultaneously — geographic expansion and product-format diversification.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Signed a fresh JDA for a 17-acre parcel on the Whitefield-Kannamangala corridor, East Bengaluru (announced 4 Aug) — ₹3,500 Cr GDV, 2.5+ msf saleable residential — on top of the ~₹5,000 Cr (₹50 billion) 3-year Sumadhura Infracon investment plan, ₹250 Cr twin-tower project, 40-acre pipeline (~₹6,000 Cr potential), Sumadhura Aikya (Soukya Road) and Panathur plotted foray already on file.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₹3,500 Cr / 17-acre Whitefield-Kannamangala JDA; ~₹5,000 Cr 3-year investment plan (Sumadhura Infracon);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pStyle w:val="ListParagraph"/>
        <w:numPr>
          <w:ilvl w:val="0"/>
          <w:numId w:val="2"/>
        </w:numPr>
        <w:spacing w:after="90"/>
      </w:pPr>
      <w:r>
        <w:rPr>
          <w:rFonts w:ascii="Calibri" w:cs="Calibri" w:eastAsia="Calibri" w:hAnsi="Calibri"/>
          <w:color w:val="1A1A1A"/>
          <w:sz w:val="19"/>
          <w:szCs w:val="19"/>
        </w:rPr>
        <w:t xml:space="preserve">With the B-Khata→A-Khata 2%-conversion window now just under two weeks from closing (23 Aug), fast-track conversion filings for any NBR-held or under-acquisition B-Khata parcels — this should be treated as a near-term legal-team deadline, not a background item.</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Separately, and unaffected by the leadership question, a Dec-2025 "Three-Account System" mandate requires developers to maintain three segregated project bank accounts with automated fund transfers and controlled withdrawals; Tamil Nadu's Registration Department is also rolling out "STAR 3.0" (Simplified and Transparent Administration of Registration), modernising registration services with more online options — layering onto the Jan 2026 guideline-value revision and 11% all-in stamp duty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Three-Account System is a compliance mechanic (not a governance question) that would apply to NBR immediately upon any Chennai project — factor its automated-transfer/controlled-withdrawal structure into cash-flow planning for any future TN entry, independent of the ongoing interim-panel situation. STAR 3.0's online-registration push is a minor efficiency positive worth noting but not yet actionable.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Alongside the ongoing legal battle (government appeal of the removal order, the separate Malkajgiri contempt proceeding, five IAS/IPS contempt notices, Section 22A land-freeze designations already on file), a distinct institutional-growth signal has emerged: representatives from several Telangana districts met Commissioner Ranganath directly on 12 Aug to formally request HYDRAA's mandate be expanded statewide to fight lake/land encroachments, rather than remain confined to the Hyderabad core region.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push for statewide expansion — arriving even as HYDRAA's leadership faces an active legal challenge — suggests grassroots/district-level institutional demand for its enforcement model may outlast the current commissioner dispute. If HYDRAA's mandate does expand beyond Hyderabad, NBR should treat any Telangana land diligence outside the current TCUR jurisdiction as a forward-looking watch item, not just a Hyderabad-specific concern.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officially launches the 21.77 km Amaravati Seed Access Road (E3) today — a 3-phase corridor with BRTS, dedicated cycle tracks, sidewalks, green belts and utility infrastructure, linking key locations across the capital region. This is a concrete infrastructure delivery milestone alongside the August 2028 Phase 1 completion target, the ongoing Gram Sabhas (Tadikonda/Mothadaka farmers agreed in principle; Kantheru still deciding), and the 20,494-acre acquisition breakdown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completed connectivity corridor (rather than just a target date or a pooling announcement) is the first tangible built-infrastructure evidence that Amaravati's capital build-out is actually progressing on the ground — worth noting as a positive signal if AP market entry is ever revisited, though land-pooling consent remains the more immediate watch item.</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is now drawing early political controversy: critics allege draft amendments to land-encroachment rules could effectively benefit illegal occupiers of government/assigned land and resort/commercial operators, rather than primarily protecting farmers as the initiative claims — a tension the 6-month expert committee will need to resolve before recommendations are finalised.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controversy is a reminder that Land Reforms 2.0's final shape is genuinely contested, not a settled pro-farmer reform — NBR's legal team should track which direction the expert committee leans before assuming any assignment-land conversion benefit, since a resort/encroachment-favouring outcome could just as easily tighten scrutiny on legitimate land transactions as a political counter-reaction.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Hyderabad-Amaravati-Chennai Bullet Train (NHSRCL)</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(180 km) + Andhra Pradesh (518 km) + Tamil Nadu (61 km)</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One of seven new HSR corridors from Union Budget 2026-27; 18 stations incl. Hyderabad, Amaravati, Guntur, Nellore, Tirupati and Chennai. DPR work underway (target Mar 2027); land acquisition, funding and construction programme not yet finalised.</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760 km, ~₹2.24 lakh Cr — pre-land-acquisition planning stage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District-level demand to expand HYDRAA statewide — arriving even as its leadership faces an active legal challenge — suggests the enforcement model has institutional staying power beyond the current commissioner dispute; if the mandate does expand, treat Telangana land diligence outside Hyderabad's core region as a forward-looking watch item. Section 22A land-freeze designations remain a distinct, separate Hyderabad diligence risk regardless of how the appeal resolves.</w:t>
      </w:r>
    </w:p>
    <w:p>
      <w:pPr>
        <w:pStyle w:val="ListParagraph"/>
        <w:numPr>
          <w:ilvl w:val="0"/>
          <w:numId w:val="2"/>
        </w:numPr>
        <w:spacing w:after="90"/>
      </w:pPr>
      <w:r>
        <w:rPr>
          <w:rFonts w:ascii="Calibri" w:cs="Calibri" w:eastAsia="Calibri" w:hAnsi="Calibri"/>
          <w:color w:val="1A1A1A"/>
          <w:sz w:val="19"/>
          <w:szCs w:val="19"/>
        </w:rPr>
        <w:t xml:space="preserve">The Hyderabad-Amaravati-Chennai bullet train corridor is still at the DPR stage (target March 2027) with no land-acquisition programme yet finalised — too early for NBR to act on, but worth tracking as it could eventually generate fresh land-acquisition and compensation activity along the Telangana/AP/TN route, similar to what Amaravati's own capital build-out has produced.</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TNRERA's Dec-2025 Three-Account System (segregated project bank accounts, automated transfers, controlled withdrawals) applies independent of the ongoing interim-panel situation — factor its cash-flow mechanics into any future Chennai project planning now, not just the governance-continuity risk.</w:t>
      </w:r>
    </w:p>
    <w:p>
      <w:pPr>
        <w:pStyle w:val="ListParagraph"/>
        <w:numPr>
          <w:ilvl w:val="0"/>
          <w:numId w:val="2"/>
        </w:numPr>
        <w:spacing w:after="90"/>
      </w:pPr>
      <w:r>
        <w:rPr>
          <w:rFonts w:ascii="Calibri" w:cs="Calibri" w:eastAsia="Calibri" w:hAnsi="Calibri"/>
          <w:color w:val="1A1A1A"/>
          <w:sz w:val="19"/>
          <w:szCs w:val="19"/>
        </w:rPr>
        <w:t xml:space="preserve">TNRERA is still operating under a 6-month interim panel (from 14 Jul 2026, following ex-chairperson Shiv Das Meena's resignation) — treat any TNRERA approval or registration sought during this window as subject to extra follow-up once permanent leadership is restored, if NBR ever pursues a Chennai entry or JV.</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pStyle w:val="ListParagraph"/>
        <w:numPr>
          <w:ilvl w:val="0"/>
          <w:numId w:val="2"/>
        </w:numPr>
        <w:spacing w:after="90"/>
      </w:pPr>
      <w:r>
        <w:rPr>
          <w:rFonts w:ascii="Calibri" w:cs="Calibri" w:eastAsia="Calibri" w:hAnsi="Calibri"/>
          <w:color w:val="444444"/>
          <w:sz w:val="17"/>
          <w:szCs w:val="17"/>
        </w:rPr>
        <w:t xml:space="preserve">Trade Brains / Business Today / The South First — Hyderabad-Amaravati-Chennai bullet train corridor (Budget 2026-27, 760 km, 18 stations)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Sunday, 16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2026-08-16T03:35:44.971Z</dcterms:created>
  <dcterms:modified xsi:type="dcterms:W3CDTF">2026-08-16T03:35:44.983Z</dcterms:modified>
</cp:coreProperties>
</file>

<file path=docProps/custom.xml><?xml version="1.0" encoding="utf-8"?>
<Properties xmlns="http://schemas.openxmlformats.org/officeDocument/2006/custom-properties" xmlns:vt="http://schemas.openxmlformats.org/officeDocument/2006/docPropsVTypes"/>
</file>