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Friday, 31 July 2026   •   Vol. I — Edition 010</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1E7B34"/>
          <w:sz w:val="19"/>
          <w:szCs w:val="19"/>
        </w:rPr>
        <w:t xml:space="preserve">[HIGH]  </w:t>
      </w:r>
      <w:r>
        <w:rPr>
          <w:rFonts w:ascii="Calibri" w:cs="Calibri" w:eastAsia="Calibri" w:hAnsi="Calibri"/>
          <w:color w:val="1A1A1A"/>
          <w:sz w:val="19"/>
          <w:szCs w:val="19"/>
        </w:rPr>
        <w:t xml:space="preserve">Karnataka HC (27 Apr 2026 ruling, resurfacing now) ordered that K-RERA recovery certificates must be enforced by designated authorities within 8 weeks of issue — a direct judicial fix aimed at the very recovery gap flagged in this digest (only ₹92 Cr of ₹758 Cr owed had been collected).</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In a separate ruling, Karnataka HC overturned a K-RERA retroactive delay-fee order — a developer-favourable precedent limiting how far back K-RERA can apply delay penalties.</w:t>
      </w:r>
    </w:p>
    <w:p>
      <w:pPr>
        <w:spacing w:after="130"/>
      </w:pPr>
      <w:r>
        <w:rPr>
          <w:rFonts w:ascii="Calibri" w:cs="Calibri" w:eastAsia="Calibri" w:hAnsi="Calibri"/>
          <w:b/>
          <w:bCs/>
          <w:color w:val="1E7B34"/>
          <w:sz w:val="19"/>
          <w:szCs w:val="19"/>
        </w:rPr>
        <w:t xml:space="preserve">[WATCH]  </w:t>
      </w:r>
      <w:r>
        <w:rPr>
          <w:rFonts w:ascii="Calibri" w:cs="Calibri" w:eastAsia="Calibri" w:hAnsi="Calibri"/>
          <w:color w:val="1A1A1A"/>
          <w:sz w:val="19"/>
          <w:szCs w:val="19"/>
        </w:rPr>
        <w:t xml:space="preserve">BBC compensation negotiations show real progress: consent letters have begun arriving from landowners, with village-wise compensation (₹2.50–15.60 Cr/acre) now published, and BDA has extended a 40%-residential-plot offer to farmers amid the acquisition disputes.</w:t>
      </w:r>
    </w:p>
    <w:p>
      <w:pPr>
        <w:spacing w:after="130"/>
      </w:pPr>
      <w:r>
        <w:rPr>
          <w:rFonts w:ascii="Calibri" w:cs="Calibri" w:eastAsia="Calibri" w:hAnsi="Calibri"/>
          <w:b/>
          <w:bCs/>
          <w:color w:val="A3121B"/>
          <w:sz w:val="19"/>
          <w:szCs w:val="19"/>
        </w:rPr>
        <w:t xml:space="preserve">[WATCH]  </w:t>
      </w:r>
      <w:r>
        <w:rPr>
          <w:rFonts w:ascii="Calibri" w:cs="Calibri" w:eastAsia="Calibri" w:hAnsi="Calibri"/>
          <w:color w:val="1A1A1A"/>
          <w:sz w:val="19"/>
          <w:szCs w:val="19"/>
        </w:rPr>
        <w:t xml:space="preserve">Hyderabad residential registrations fell 14% YoY in January 2026 (transaction values down 16%), with industry stakeholders citing "policy uncertainty [and] administrative decisions" — a market-level data point that gives the HYDRAA enforcement-risk narrative real teeth beyond individual disputes.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new NBR-specific news, Grade A/mid-tier land deals, or guidance-value gazette notification since yesterday; the BDA e-auction bidding rounds conclude today (31 Jul) and the B-Khata window remains open through 23 Aug.</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(retired 2004-batch IAS officer, former Secretary to CM Siddaramaiah) has been appointed a K-RERA Member for a 5-year term.</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note the K-RERA Member bench refresh for any pending or upcoming NBR matters before the authority.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and the ₹92 Cr/₹758 Cr recovery gap already on file, Karnataka HC (Rajesh Rao C.V. v. State of Karnataka, 27 Apr 2026) has ordered that K-RERA recovery certificates must be enforced by designated authorities within 8 weeks of issue — directly targeting the collection shortfall; separately, the HC has also overturned a K-RERA order that applied a delay fee retroactively, limiting how far back such penalties can reach.</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8-week enforcement mandate should meaningfully close the recovery gap going forward — treat any future adverse K-RERA order against NBR as more likely to be actually collected than historical data alone suggested; conversely, the retroactive-fee ruling is a useful defence precedent if NBR ever contests a delay-fee calculation reaching back further than reasonable.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GBA's revised draft voter list is now out — 88.92 lakh voters identified across 5 corporations, 369 wards, with 8,024 polling stations planned; the state government has dismissed as "baseless" claims that a proposed 650+-member nomination process would delay elections, though the Supreme Court's 30 June 2026 completion deadline has already passed without a confirmed poll date.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voter-roll milestone is concrete progress, but the missed Supreme Court deadline means election timing remains genuinely uncertain — continue treating e-Khata/property-tax record continuity as an open diligence item until elections and the database merger are both confirmed complete.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 legal team to reassess conversion timelines on outstation parcels.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incl. high-demand plots in Arkavathi Layout, Anjanapura Township, Banashankari 6th Stage and Sir M. Visvesvaraya Layout); registration/interest closed 5 PM today, 27 Jul 2026; timed bidding now moves into rounds over 28–31 Jul 2026 (each round 11 AM to 5 PM the next day) on the Karnataka Public Procurement Portal, sold "As Is Where Is" under the BDA's 1984 Disposal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registration window has closed — any NBR site of interest not yet registered has missed this round; for sites NBR did register for, prepare bidding strategy now given the 10%-above-reserve and single-bidder-rejection rules already on file.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Compensation negotiations are showing real momentum: consent letters have begun arriving from landowners, village-wise compensation figures (₹2.50–15.60 Cr/acre, reflecting the five-option formula the Cabinet cleared) are now published on BDA's website, and BDA has extended a 40%-of-relinquished-land residential-plot offer to farmers amid the ongoing disputes. This runs alongside the court-deposit-and-proceed construction plan (SNC as L1 bidder, 79% land acquired on the first stretch) and the still-unresolved Section 27/Madavara legal challenges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Consent letters actually arriving is the clearest sign yet that the compensation framework — however legally contested — is gaining practical traction with landowners; NBR's BBC-alignment land-banking survey should treat negotiated settlement as an increasingly realistic base case, while still tracking the parallel legal case as a residual risk.</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Overturned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overturned a K-RERA order that had applied a possession-delay fee retroactively against a developer, finding the retroactive application impermissible.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developer-favourable precedent worth keeping on file — if K-RERA ever calculates a delay fee against an NBR project reaching back further than the relevant trigger date, this ruling supports challenging the retroactive portion of the calculation.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Secured BBMP/GBA approval to build a 1.5 km private flyover connecting Bellandur and Kariyammana Agrahara, on top of the Bengaluru Airport City integrated destination (₹1,800 Cr, construction from early 2027), Aerospace Park Phase 2 (30+ acres) and Old Madras Road JV parcel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₹1,800 Cr Airport City destination + self-funded 1.5 km flyover</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 building its own private flyover to solve connectivity is a notable escalation in how far Grade A players will go to unlock value on a constrained site — worth watching whether regulators extend similar approvals to other developers, which could reshape access economics for NBR's own connectivity-constrained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20.19-acre Whitefield-Hoskote parcel (₹588.33 Cr, via Ananthay Properties) is now confirmed as a ₹5,200 Cr GDV mixed-use development spanning 4.2 msf of residential, commercial and retail space — on top of the Malur plotted development, Prestige JV on Old Madras Road, and Gunjur JDA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~121 acres FY26; Whitefield-Hoskote alone now valued at ₹5,200 Cr GDV</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scale-up from a land-cost figure (₹588 Cr) to a full project GDV (₹5,200 Cr) shows Brigade's Whitefield-Hoskote play is a major mixed-use bet, not just a land banking move — a useful reminder to track GDV, not just acquisition cost, when sizing up peer moves.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₹1,150–1,160 Cr FY26 land spend continues at ~10 million sq ft/year pace (East Bengaluru's Sobha Altair, Hoskote World City); separately, Godrej Industries Group's family office (Anamudi Real Estates LLP) divested a 4.4% stake in Sobha for ₹858 Cr via open-market transactions.</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stake divestment is a shareholding/ownership event, not an operational change, but it's a reminder that Sobha's cap table includes cross-holdings with Godrej — a dynamic worth monitoring given Godrej Properties' own expansion in Sobha's core Bengaluru turf.</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Construction arm Starworth Infrastructure &amp; Construction Ltd (SICL) has secured a second major third-party contract — ₹311.18 Cr for the Sattva AANGANE project (3.04 msf, 37-month execution) — alongside the Embassy Eden LOI (₹133.34 Cr), its 25.61 msf Bengaluru land bank, and the KVN Property Holdings JV (24.59 acres)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25.61 msf Bengaluru land bank; ~120 acres across 6 recent land deals; SICL now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Puravankara's construction arm is now embedded in both Embassy's and Sattva's active projects — a notable diversification into contracted construction services alongside its own land-bank growth, and a reminder of how interconnected Grade A peers' execution capacity has become.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Strong Bengaluru sales momentum continues: Godrej Vanantara sold ₹2,000 Cr of homes in its launch week, Godrej Woodscapes (Whitefield-Budigere Cross) has sold 2,000+ homes worth over ₹3,150 Cr, and a 14-acre Hoskote parcel (₹1,500 Cr revenue potential) adds to its East Bengaluru pipeline — all on top of FY24-25 record sales bookings of ~₹29,444 Cr nationally and its 17-deal/443.5-acre FY26 Bengaluru-area land run.</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 deals / 443.5 acres (FY26, national) + ₹5,150 Cr+ recent Bengaluru launch-week sales +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Godrej's scale (national bookings) combined with hyper-local East Bengaluru execution (Whitefield-Budigere, Hoskote) makes it the benchmark to watch most closely for both pricing and absorption-rate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Pre-launched Sattva Vasanta Cove, a 1-acre residential development within its flagship Sattva Urbana township in North Bengaluru, alongside ongoing premium listings (Sattva Luxuria, Sattva Magnificia).</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Multiple ongoing premium launches, incl. new Sattva Urbana infill</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Steady-state redevelopment/infill activity (including infill within its own existing townships) in mature localities — a model NBR could evaluate for infill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Going vertical with a ₹250 Cr project comprising 297 apartments across two slender 28-floor towers, on top of the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₹250 Cr twin-tower (28-floor) project;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Won Best Landscape Project (17th Realty+ Excellence Awards, Pune 2026) and Best Residential/Best Affordable Project (ET Real Estate Conclave &amp; Awards 2026),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multi-city (South India) — award-winning portfolio, but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BBC consent letters starting to arrive, alongside published village-wise compensation figures, mean negotiated settlement is becoming a realistic base case for corridor-adjacent land — revisit NBR's BBC-alignment land-banking survey assumptions accordingly, while still keeping the unresolved Section 27/Madavara legal risk on the watch list.</w:t>
      </w:r>
    </w:p>
    <w:p>
      <w:pPr>
        <w:pStyle w:val="ListParagraph"/>
        <w:numPr>
          <w:ilvl w:val="0"/>
          <w:numId w:val="2"/>
        </w:numPr>
        <w:spacing w:after="90"/>
      </w:pPr>
      <w:r>
        <w:rPr>
          <w:rFonts w:ascii="Calibri" w:cs="Calibri" w:eastAsia="Calibri" w:hAnsi="Calibri"/>
          <w:color w:val="1A1A1A"/>
          <w:sz w:val="19"/>
          <w:szCs w:val="19"/>
        </w:rPr>
        <w:t xml:space="preserve">Prestige's developer-funded private flyover (Bellandur–Kariyammana Agrahara) remains a live precedent for unlocking connectivity-constrained land via self-funded infrastructure — evaluate whether any NBR parcel with an access constraint could benefit from a similar BBMP/GBA-approved structure.</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new 8-week K-RERA recovery-certificate enforcement mandate should be factored into NBR's own RERA compliance risk model — an adverse order is now more likely to be actually collected against than the historical ~12% recovery rate would suggest.</w:t>
      </w:r>
    </w:p>
    <w:p>
      <w:pPr>
        <w:pStyle w:val="ListParagraph"/>
        <w:numPr>
          <w:ilvl w:val="0"/>
          <w:numId w:val="2"/>
        </w:numPr>
        <w:spacing w:after="90"/>
      </w:pPr>
      <w:r>
        <w:rPr>
          <w:rFonts w:ascii="Calibri" w:cs="Calibri" w:eastAsia="Calibri" w:hAnsi="Calibri"/>
          <w:color w:val="1A1A1A"/>
          <w:sz w:val="19"/>
          <w:szCs w:val="19"/>
        </w:rPr>
        <w:t xml:space="preserve">Keep the K-RERA retroactive delay-fee ruling on file as a ready defence precedent, should K-RERA ever calculate a delay penalty against an NBR project reaching back further than a reasonable trigger date.</w:t>
      </w:r>
    </w:p>
    <w:p>
      <w:pPr>
        <w:pStyle w:val="ListParagraph"/>
        <w:numPr>
          <w:ilvl w:val="0"/>
          <w:numId w:val="2"/>
        </w:numPr>
        <w:spacing w:after="90"/>
      </w:pPr>
      <w:r>
        <w:rPr>
          <w:rFonts w:ascii="Calibri" w:cs="Calibri" w:eastAsia="Calibri" w:hAnsi="Calibri"/>
          <w:color w:val="1A1A1A"/>
          <w:sz w:val="19"/>
          <w:szCs w:val="19"/>
        </w:rPr>
        <w:t xml:space="preserve">The NICE/BMICP ruling (29 Jul) and the Thalaghattapura BMICP quashings together show a documented pattern of Karnataka courts striking down old, dormant land acquisitions — extend legal-team review to any NBR parcel history involving a decades-old, never-executed acquisition notation.</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Prestige's self-funded flyover approval and Puravankara's cross-developer construction-arm role (SICL working for both Embassy and Sattva) both show Grade A peers finding creative structures to unlock value or capacity beyond simple land acquisition — worth a standing watch item for alternative deal structures NBR could adapt.</w:t>
      </w:r>
    </w:p>
    <w:p>
      <w:pPr>
        <w:pStyle w:val="ListParagraph"/>
        <w:numPr>
          <w:ilvl w:val="0"/>
          <w:numId w:val="2"/>
        </w:numPr>
        <w:spacing w:after="90"/>
      </w:pPr>
      <w:r>
        <w:rPr>
          <w:rFonts w:ascii="Calibri" w:cs="Calibri" w:eastAsia="Calibri" w:hAnsi="Calibri"/>
          <w:color w:val="1A1A1A"/>
          <w:sz w:val="19"/>
          <w:szCs w:val="19"/>
        </w:rPr>
        <w:t xml:space="preserve">Adarsh Developers' ₹1,600 Cr+ funding raise and Sumadhura's move into 28-floor towers both show mid-tier peers scaling up ambition — reassess whether NBR's own mid-tier competitive set is still an accurate description of these peers' trajectories.</w:t>
      </w:r>
    </w:p>
    <w:p>
      <w:pPr>
        <w:pStyle w:val="ListParagraph"/>
        <w:numPr>
          <w:ilvl w:val="0"/>
          <w:numId w:val="2"/>
        </w:numPr>
        <w:spacing w:after="90"/>
      </w:pPr>
      <w:r>
        <w:rPr>
          <w:rFonts w:ascii="Calibri" w:cs="Calibri" w:eastAsia="Calibri" w:hAnsi="Calibri"/>
          <w:color w:val="1A1A1A"/>
          <w:sz w:val="19"/>
          <w:szCs w:val="19"/>
        </w:rPr>
        <w:t xml:space="preserve">Benchmark NBR's own absorption rates against Godrej Properties' national-scale momentum (₹29,444 Cr FY24-25 bookings) combined with hyper-local East Bengaluru execution — still the strongest dual-scale benchmark identified to date.</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 continues to drive buyer trust (ready-to-move demand +35% post-RERA); Jan 2026 guideline-value revision raised rates along OMR, ECR and GST Road growth corridors; stamp duty 7% + registration 4% (11% all-in) charged on the higher of guideline value or sale price.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If NBR evaluates a Chennai entry or JV, price underwriting must use the higher of guideline/market value; OMR/ECR corridors carry the steepest revised guideline values.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 residential registrations fell 14% YoY in January 2026 (transaction values down 16%), with industry stakeholders citing "policy uncertainty, administrative decisions and global headwinds" — market-level evidence behind the HYDRAA-driven uncertainty narrative, alongside the Telangana HC's direct call for the Chief Secretary to REPLACE HYDRAA Commissioner Ranganath (who cites ~₹1.5 lakh Cr in reclaimed public assets in his defence) and its ruling that GHMC cannot acquire private land without owner consent.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registration-decline data confirms the enforcement uncertainty is not just a legal abstraction — it appears to be dampening actual transaction activity; NBR should factor a measurable demand-side discount, not just a legal-risk premium, into any Hyderabad market entry analysis.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fresh government order details acquisition of 20,494 acres in total — 16,562.56 acres of patta (private) land, 104.01 acres of assigned land, and 3,828.30 acres of government land — for an International Sports City, greenfield international airport and related infrastructure, layering onto the confirmed permanent-capital status (President's April 2026 assent) and the ongoing Phase II pooling (16,666.78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precise private/assigned/government land breakdown shows the bulk (16,562+ acres) is coming from private patta holders, not government land — a reminder that Amaravati's build-out will keep generating fresh land-acquisition and compensation activity for years; a long-horizon watch item, not yet an actionable NBR opportunity.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development beyond the previously reported land-law expert committee proposal and 2026 Government Land Assignment Rules; June 2026 market data continues to show steady NRI-driven demand and improved digitised land records.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Land-law reform is still at the committee stage — not yet actionable, but NBR's legal team should keep tracking committee recommendations given potential impact on assignment-land conversions.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Hyderabad's 14% YoY registration decline (Jan 2026) gives the HYDRAA enforcement-risk narrative measurable market backing — treat Hyderabad as a materially higher-friction, currently softening market versus Karnataka, not just a legally riskier one.</w:t>
      </w:r>
    </w:p>
    <w:p>
      <w:pPr>
        <w:pStyle w:val="ListParagraph"/>
        <w:numPr>
          <w:ilvl w:val="0"/>
          <w:numId w:val="2"/>
        </w:numPr>
        <w:spacing w:after="90"/>
      </w:pPr>
      <w:r>
        <w:rPr>
          <w:rFonts w:ascii="Calibri" w:cs="Calibri" w:eastAsia="Calibri" w:hAnsi="Calibri"/>
          <w:color w:val="1A1A1A"/>
          <w:sz w:val="19"/>
          <w:szCs w:val="19"/>
        </w:rPr>
        <w:t xml:space="preserve">Amaravati's precise 20,494-acre acquisition breakdown (16,562+ acres from private patta holders) is a reminder the capital's build-out will keep generating years of fresh land-acquisition and compensation activity — a long-horizon watch item, not a near-term opportunity.</w:t>
      </w:r>
    </w:p>
    <w:p>
      <w:pPr>
        <w:pStyle w:val="ListParagraph"/>
        <w:numPr>
          <w:ilvl w:val="0"/>
          <w:numId w:val="2"/>
        </w:numPr>
        <w:spacing w:after="90"/>
      </w:pPr>
      <w:r>
        <w:rPr>
          <w:rFonts w:ascii="Calibri" w:cs="Calibri" w:eastAsia="Calibri" w:hAnsi="Calibri"/>
          <w:color w:val="1A1A1A"/>
          <w:sz w:val="19"/>
          <w:szCs w:val="19"/>
        </w:rPr>
        <w:t xml:space="preserve">If a South India footprint beyond Karnataka is on NBR's roadmap, Hyderabad diligence must independently and repeatedly verify government/lake-buffer land status given HYDRAA's demonstrated willingness to act despite restraining orders — a single favourable court order should not be treated as closing the risk.</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Track Kerala's land-law expert committee recommendations — any reform to assignment-land conversion rules could open or close future acquisition routes in that state.</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Friday, 31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2026-07-31T03:36:33.612Z</dcterms:created>
  <dcterms:modified xsi:type="dcterms:W3CDTF">2026-07-31T03:36:33.630Z</dcterms:modified>
</cp:coreProperties>
</file>

<file path=docProps/custom.xml><?xml version="1.0" encoding="utf-8"?>
<Properties xmlns="http://schemas.openxmlformats.org/officeDocument/2006/custom-properties" xmlns:vt="http://schemas.openxmlformats.org/officeDocument/2006/docPropsVTypes"/>
</file>