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Saturday, 1 August 2026   •   Vol. I — Edition 011</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A3121B"/>
          <w:sz w:val="19"/>
          <w:szCs w:val="19"/>
        </w:rPr>
        <w:t xml:space="preserve">[HIGH]  </w:t>
      </w:r>
      <w:r>
        <w:rPr>
          <w:rFonts w:ascii="Calibri" w:cs="Calibri" w:eastAsia="Calibri" w:hAnsi="Calibri"/>
          <w:color w:val="1A1A1A"/>
          <w:sz w:val="19"/>
          <w:szCs w:val="19"/>
        </w:rPr>
        <w:t xml:space="preserve">Karnataka HC stayed RERA applicability to BDA residential layouts where preliminary land acquisition notifications predate the 2016 RERA Act — interim relief was granted only until 6 July 2026, a date that has now passed without a confirmed follow-up order, leaving the actual current status unresolved.</w:t>
      </w:r>
    </w:p>
    <w:p>
      <w:pPr>
        <w:spacing w:after="130"/>
      </w:pPr>
      <w:r>
        <w:rPr>
          <w:rFonts w:ascii="Calibri" w:cs="Calibri" w:eastAsia="Calibri" w:hAnsi="Calibri"/>
          <w:b/>
          <w:bCs/>
          <w:color w:val="9C6F00"/>
          <w:sz w:val="19"/>
          <w:szCs w:val="19"/>
        </w:rPr>
        <w:t xml:space="preserve">[WATCH]  </w:t>
      </w:r>
      <w:r>
        <w:rPr>
          <w:rFonts w:ascii="Calibri" w:cs="Calibri" w:eastAsia="Calibri" w:hAnsi="Calibri"/>
          <w:color w:val="1A1A1A"/>
          <w:sz w:val="19"/>
          <w:szCs w:val="19"/>
        </w:rPr>
        <w:t xml:space="preserve">In a separate ruling, Karnataka HC held that RERA orders cannot be executed through civil courts — reinforcing that the recovery-certificate/revenue-recovery route (per the 8-week enforcement mandate flagged yesterday) is the correct enforcement channel, not a civil suit.</w:t>
      </w:r>
    </w:p>
    <w:p>
      <w:pPr>
        <w:spacing w:after="130"/>
      </w:pPr>
      <w:r>
        <w:rPr>
          <w:rFonts w:ascii="Calibri" w:cs="Calibri" w:eastAsia="Calibri" w:hAnsi="Calibri"/>
          <w:b/>
          <w:bCs/>
          <w:color w:val="1E7B34"/>
          <w:sz w:val="19"/>
          <w:szCs w:val="19"/>
        </w:rPr>
        <w:t xml:space="preserve">[WATCH]  </w:t>
      </w:r>
      <w:r>
        <w:rPr>
          <w:rFonts w:ascii="Calibri" w:cs="Calibri" w:eastAsia="Calibri" w:hAnsi="Calibri"/>
          <w:color w:val="1A1A1A"/>
          <w:sz w:val="19"/>
          <w:szCs w:val="19"/>
        </w:rPr>
        <w:t xml:space="preserve">BDA Commissioner Capt. Manivannan has appointed four dedicated Deputy Commissioners (Land Acquisition) to speed up negotiated Bengaluru Business Corridor settlements — Phase 1 (1,810 acres) is nearing completion and officials say the award pace is entering its most active phase since the project began.</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NBR Group itself is drawing positive trade-press coverage (Republic World) framing its "rise into Bengaluru's Tier 1 developer league" — useful external validation to be aware of alongside the competitive tracking in this digest.</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Sobha has confirmed it plans to maintain its ~₹1,150–1,160 Cr FY26 land-spend pace into FY27 as well — a signal of sustained (not one-off) acquisition intensity from this Grade A peer.</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(retired 2004-batch IAS officer, former Secretary to CM Siddaramaiah) has been appointed a K-RERA Member for a 5-year term. Separately, Karnataka HC (Justice Suraj Govindaraj, 3 Jun 2026) stayed RERA applicability to BDA residential layouts where preliminary land acquisition notifications predate the 2016 RERA Act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The pre-2016-notification exemption for BDA layouts is a DIFFERENT carve-out from the pre-2017-OC exemption already on file — if NBR has any project on land whose acquisition predates 2016, seek updated status on this stay before assuming continued exemption, since the interim order's expiry date has passed.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overturned a K-RERA order that applied a delay fee retroactively.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GBA's revised draft voter list is now out — 88.92 lakh voters identified across 5 corporations, 369 wards, with 8,024 polling stations planned; the state government has dismissed as "baseless" claims that a proposed 650+-member nomination process would delay elections, though the Supreme Court's 30 June 2026 completion deadline has already passed without a confirmed poll date.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voter-roll milestone is concrete progress, but the missed Supreme Court deadline means election timing remains genuinely uncertain — continue treating e-Khata/property-tax record continuity as an open diligence item until elections and the database merger are both confirmed complete.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Conversion charge remains cut from 5% to 2% of guidance value for the special window (15 May – 23 Aug 2026) — now roughly one month from closing.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Fast-track conversion for any NBR-held or under-acquisition B-Khata parcels; with ~4 weeks left, this should now be treated as a near-term legal-team deadline, not a background item.</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 legal team to reassess conversion timelines on outstation parcels.</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13th BDA e-auction this year (175 sites, incl. high-demand plots in Arkavathi Layout, Anjanapura Township, Banashankari 6th Stage and Sir M. Visvesvaraya Layout); registration/interest closed 5 PM today, 27 Jul 2026; timed bidding now moves into rounds over 28–31 Jul 2026 (each round 11 AM to 5 PM the next day) on the Karnataka Public Procurement Portal, sold "As Is Where Is" under the BDA's 1984 Disposal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registration window has closed — any NBR site of interest not yet registered has missed this round; for sites NBR did register for, prepare bidding strategy now given the 10%-above-reserve and single-bidder-rejection rules already on file.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Commissioner Capt. Manivannan has appointed four dedicated Deputy Commissioners (Land Acquisition) specifically to speed up processing of negotiated settlements; Phase 1 (1,810 acres) is nearing completion and officials describe the award pace as entering its most active phase since the project began — building on consent letters already arriving, published village-wise compensation (₹2.50–15.60 Cr/acre), the 40%-residential-plot offer, and the court-deposit-and-proceed construction plan (SNC as L1 bidder) already on file. The Section 27/Madavara legal challenges remain unresolved in parallel.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dedicated-DC appointment is a clear administrative signal the state wants Phase 1 wrapped up soon — NBR's BBC-alignment land-banking survey should treat near-term completion of Phase 1 land acquisition as increasingly likely, while the underlying legal challenge remains the key residual uncertainty to track.</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Overturned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overturned a K-RERA order that had applied a possession-delay fee retroactively against a developer, finding the retroactive application impermissible.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developer-favourable precedent worth keeping on file — if K-RERA ever calculates a delay fee against an NBR project reaching back further than the relevant trigger date, this ruling supports challenging the retroactive portion of the calculation.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Secured BBMP/GBA approval to build a 1.5 km private flyover connecting Bellandur and Kariyammana Agrahara, on top of the Bengaluru Airport City integrated destination (₹1,800 Cr, construction from early 2027), Aerospace Park Phase 2 (30+ acres) and Old Madras Road JV parcel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₹20,400 Cr GDV (Q1 FY26, multi-city) + ₹1,800 Cr Airport City destination + self-funded 1.5 km flyover</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developer building its own private flyover to solve connectivity is a notable escalation in how far Grade A players will go to unlock value on a constrained site — worth watching whether regulators extend similar approvals to other developers, which could reshape access economics for NBR's own connectivity-constrained parcels.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20.19-acre Whitefield-Hoskote parcel (₹588.33 Cr, via Ananthay Properties) is now confirmed as a ₹5,200 Cr GDV mixed-use development spanning 4.2 msf of residential, commercial and retail space — on top of the Malur plotted development, Prestige JV on Old Madras Road, and Gunjur JDA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 deals / ~121 acres FY26; Whitefield-Hoskote alone now valued at ₹5,200 Cr GDV</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scale-up from a land-cost figure (₹588 Cr) to a full project GDV (₹5,200 Cr) shows Brigade's Whitefield-Hoskote play is a major mixed-use bet, not just a land banking move — a useful reminder to track GDV, not just acquisition cost, when sizing up peer moves.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Confirmed it plans to maintain its ~₹1,150–1,160 Cr FY26 land-spend pace into FY27 as well (~10 million sq ft/year target continuing) — a signal of sustained rather than one-off acquisition intensity —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confirmed FY27 continuation (not just FY26) makes Sobha's Bengaluru-concentrated pace a multi-year benchmark, not a single-year spike — useful for NBR's own multi-year land-bank pacing comparisons.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Construction arm Starworth Infrastructure &amp; Construction Ltd (SICL) has secured a second major third-party contract — ₹311.18 Cr for the Sattva AANGANE project (3.04 msf, 37-month execution) — alongside the Embassy Eden LOI (₹133.34 Cr), its 25.61 msf Bengaluru land bank, and the KVN Property Holdings JV (24.59 acres)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25.61 msf Bengaluru land bank; ~120 acres across 6 recent land deals; SICL now holds ₹444.5 Cr+ in third-party construction contracts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Puravankara's construction arm is now embedded in both Embassy's and Sattva's active projects — a notable diversification into contracted construction services alongside its own land-bank growth, and a reminder of how interconnected Grade A peers' execution capacity has become.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Strong Bengaluru sales momentum continues: Godrej Vanantara sold ₹2,000 Cr of homes in its launch week, Godrej Woodscapes (Whitefield-Budigere Cross) has sold 2,000+ homes worth over ₹3,150 Cr, and a 14-acre Hoskote parcel (₹1,500 Cr revenue potential) adds to its East Bengaluru pipeline — all on top of FY24-25 record sales bookings of ~₹29,444 Cr nationally and its 17-deal/443.5-acre FY26 Bengaluru-area land run.</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17 deals / 443.5 acres (FY26, national) + ₹5,150 Cr+ recent Bengaluru launch-week sales + ₹29,444 Cr FY24-25 national bookings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Godrej's scale (national bookings) combined with hyper-local East Bengaluru execution (Whitefield-Budigere, Hoskote) makes it the benchmark to watch most closely for both pricing and absorption-rate comparisons.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Pre-launched Sattva Vasanta Cove, a 1-acre residential development within its flagship Sattva Urbana township in North Bengaluru, alongside ongoing premium listings (Sattva Luxuria, Sattva Magnificia).</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Multiple ongoing premium launches, incl. new Sattva Urbana infill</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Steady-state redevelopment/infill activity (including infill within its own existing townships) in mature localities — a model NBR could evaluate for infill parcels.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fresh ₹600 Cr Yelahanka row-housing JDA (7 acres) flagged yesterday.</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Shriram's multi-city diversification (adding Pune) alongside its Bengaluru row-housing move suggests it is pursuing growth on two fronts simultaneously — geographic expansion and product-format diversification.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Going vertical with a ₹250 Cr project comprising 297 apartments across two slender 28-floor towers, on top of the 40-acre pipeline (~₹6,000 Cr potential), Sumadhura Aikya (Soukya Road) and Panathur plotted foray already on file.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₹250 Cr twin-tower (28-floor) project;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Won Best Landscape Project (17th Realty+ Excellence Awards, Pune 2026) and Best Residential/Best Affordable Project (ET Real Estate Conclave &amp; Awards 2026),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multi-city (South India) — award-winning portfolio, but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BDA's dedicated four-DC team for BBC negotiated settlements signals near-term completion of Phase 1 land acquisition is a real possibility, not just an aspiration — revisit NBR's BBC-alignment land-banking survey timeline assumptions accordingly.</w:t>
      </w:r>
    </w:p>
    <w:p>
      <w:pPr>
        <w:pStyle w:val="ListParagraph"/>
        <w:numPr>
          <w:ilvl w:val="0"/>
          <w:numId w:val="2"/>
        </w:numPr>
        <w:spacing w:after="90"/>
      </w:pPr>
      <w:r>
        <w:rPr>
          <w:rFonts w:ascii="Calibri" w:cs="Calibri" w:eastAsia="Calibri" w:hAnsi="Calibri"/>
          <w:color w:val="1A1A1A"/>
          <w:sz w:val="19"/>
          <w:szCs w:val="19"/>
        </w:rPr>
        <w:t xml:space="preserve">Prestige's developer-funded private flyover (Bellandur–Kariyammana Agrahara) remains a live precedent for unlocking connectivity-constrained land via self-funded infrastructure — evaluate whether any NBR parcel with an access constraint could benefit from a similar BBMP/GBA-approved structure.</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If any NBR project sits on land whose acquisition notification predates 2016, obtain updated status on the Karnataka HC's RERA-applicability stay for BDA layouts — its interim relief expired 6 Jul 2026 without a confirmed follow-up order, so the current exemption status needs active confirmation, not assumption.</w:t>
      </w:r>
    </w:p>
    <w:p>
      <w:pPr>
        <w:pStyle w:val="ListParagraph"/>
        <w:numPr>
          <w:ilvl w:val="0"/>
          <w:numId w:val="2"/>
        </w:numPr>
        <w:spacing w:after="90"/>
      </w:pPr>
      <w:r>
        <w:rPr>
          <w:rFonts w:ascii="Calibri" w:cs="Calibri" w:eastAsia="Calibri" w:hAnsi="Calibri"/>
          <w:color w:val="1A1A1A"/>
          <w:sz w:val="19"/>
          <w:szCs w:val="19"/>
        </w:rPr>
        <w:t xml:space="preserve">The civil-court-execution ruling confirms K-RERA orders can only be enforced via the revenue-recovery-certificate route (now subject to the 8-week mandate already on file) — useful clarity on the realistic enforcement pathway and timeline for any future adverse order.</w:t>
      </w:r>
    </w:p>
    <w:p>
      <w:pPr>
        <w:pStyle w:val="ListParagraph"/>
        <w:numPr>
          <w:ilvl w:val="0"/>
          <w:numId w:val="2"/>
        </w:numPr>
        <w:spacing w:after="90"/>
      </w:pPr>
      <w:r>
        <w:rPr>
          <w:rFonts w:ascii="Calibri" w:cs="Calibri" w:eastAsia="Calibri" w:hAnsi="Calibri"/>
          <w:color w:val="1A1A1A"/>
          <w:sz w:val="19"/>
          <w:szCs w:val="19"/>
        </w:rPr>
        <w:t xml:space="preserve">The NICE/BMICP ruling (29 Jul) and the Thalaghattapura BMICP quashings together show a documented pattern of Karnataka courts striking down old, dormant land acquisitions — extend legal-team review to any NBR parcel history involving a decades-old, never-executed acquisition notation.</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Prestige's self-funded flyover approval and Puravankara's cross-developer construction-arm role (SICL working for both Embassy and Sattva) both show Grade A peers finding creative structures to unlock value or capacity beyond simple land acquisition — worth a standing watch item for alternative deal structures NBR could adapt.</w:t>
      </w:r>
    </w:p>
    <w:p>
      <w:pPr>
        <w:pStyle w:val="ListParagraph"/>
        <w:numPr>
          <w:ilvl w:val="0"/>
          <w:numId w:val="2"/>
        </w:numPr>
        <w:spacing w:after="90"/>
      </w:pPr>
      <w:r>
        <w:rPr>
          <w:rFonts w:ascii="Calibri" w:cs="Calibri" w:eastAsia="Calibri" w:hAnsi="Calibri"/>
          <w:color w:val="1A1A1A"/>
          <w:sz w:val="19"/>
          <w:szCs w:val="19"/>
        </w:rPr>
        <w:t xml:space="preserve">Adarsh Developers' ₹1,600 Cr+ funding raise and Sumadhura's move into 28-floor towers both show mid-tier peers scaling up ambition — reassess whether NBR's own mid-tier competitive set is still an accurate description of these peers' trajectories.</w:t>
      </w:r>
    </w:p>
    <w:p>
      <w:pPr>
        <w:pStyle w:val="ListParagraph"/>
        <w:numPr>
          <w:ilvl w:val="0"/>
          <w:numId w:val="2"/>
        </w:numPr>
        <w:spacing w:after="90"/>
      </w:pPr>
      <w:r>
        <w:rPr>
          <w:rFonts w:ascii="Calibri" w:cs="Calibri" w:eastAsia="Calibri" w:hAnsi="Calibri"/>
          <w:color w:val="1A1A1A"/>
          <w:sz w:val="19"/>
          <w:szCs w:val="19"/>
        </w:rPr>
        <w:t xml:space="preserve">Benchmark NBR's own absorption rates against Godrej Properties' national-scale momentum (₹29,444 Cr FY24-25 bookings) combined with hyper-local East Bengaluru execution — still the strongest dual-scale benchmark identified to date.</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 continues to drive buyer trust (ready-to-move demand +35% post-RERA); Jan 2026 guideline-value revision raised rates along OMR, ECR and GST Road growth corridors; stamp duty 7% + registration 4% (11% all-in) charged on the higher of guideline value or sale price.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If NBR evaluates a Chennai entry or JV, price underwriting must use the higher of guideline/market value; OMR/ECR corridors carry the steepest revised guideline values.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Hyderabad residential registrations fell 14% YoY in January 2026 (transaction values down 16%), with industry stakeholders citing "policy uncertainty, administrative decisions and global headwinds" — market-level evidence behind the HYDRAA-driven uncertainty narrative, alongside the Telangana HC's direct call for the Chief Secretary to REPLACE HYDRAA Commissioner Ranganath (who cites ~₹1.5 lakh Cr in reclaimed public assets in his defence) and its ruling that GHMC cannot acquire private land without owner consent.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registration-decline data confirms the enforcement uncertainty is not just a legal abstraction — it appears to be dampening actual transaction activity; NBR should factor a measurable demand-side discount, not just a legal-risk premium, into any Hyderabad market entry analysis.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fresh government order details acquisition of 20,494 acres in total — 16,562.56 acres of patta (private) land, 104.01 acres of assigned land, and 3,828.30 acres of government land — for an International Sports City, greenfield international airport and related infrastructure, layering onto the confirmed permanent-capital status (President's April 2026 assent) and the ongoing Phase II pooling (16,666.78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precise private/assigned/government land breakdown shows the bulk (16,562+ acres) is coming from private patta holders, not government land — a reminder that Amaravati's build-out will keep generating fresh land-acquisition and compensation activity for years; a long-horizon watch item, not yet an actionable NBR opportunity.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development beyond the previously reported land-law expert committee proposal and 2026 Government Land Assignment Rules; June 2026 market data continues to show steady NRI-driven demand and improved digitised land records.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Land-law reform is still at the committee stage — not yet actionable, but NBR's legal team should keep tracking committee recommendations given potential impact on assignment-land conversions.</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Hyderabad's 14% YoY registration decline (Jan 2026) gives the HYDRAA enforcement-risk narrative measurable market backing — treat Hyderabad as a materially higher-friction, currently softening market versus Karnataka, not just a legally riskier one.</w:t>
      </w:r>
    </w:p>
    <w:p>
      <w:pPr>
        <w:pStyle w:val="ListParagraph"/>
        <w:numPr>
          <w:ilvl w:val="0"/>
          <w:numId w:val="2"/>
        </w:numPr>
        <w:spacing w:after="90"/>
      </w:pPr>
      <w:r>
        <w:rPr>
          <w:rFonts w:ascii="Calibri" w:cs="Calibri" w:eastAsia="Calibri" w:hAnsi="Calibri"/>
          <w:color w:val="1A1A1A"/>
          <w:sz w:val="19"/>
          <w:szCs w:val="19"/>
        </w:rPr>
        <w:t xml:space="preserve">Amaravati's precise 20,494-acre acquisition breakdown (16,562+ acres from private patta holders) is a reminder the capital's build-out will keep generating years of fresh land-acquisition and compensation activity — a long-horizon watch item, not a near-term opportunity.</w:t>
      </w:r>
    </w:p>
    <w:p>
      <w:pPr>
        <w:pStyle w:val="ListParagraph"/>
        <w:numPr>
          <w:ilvl w:val="0"/>
          <w:numId w:val="2"/>
        </w:numPr>
        <w:spacing w:after="90"/>
      </w:pPr>
      <w:r>
        <w:rPr>
          <w:rFonts w:ascii="Calibri" w:cs="Calibri" w:eastAsia="Calibri" w:hAnsi="Calibri"/>
          <w:color w:val="1A1A1A"/>
          <w:sz w:val="19"/>
          <w:szCs w:val="19"/>
        </w:rPr>
        <w:t xml:space="preserve">If a South India footprint beyond Karnataka is on NBR's roadmap, Hyderabad diligence must independently and repeatedly verify government/lake-buffer land status given HYDRAA's demonstrated willingness to act despite restraining orders — a single favourable court order should not be treated as closing the risk.</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Track Kerala's land-law expert committee recommendations — any reform to assignment-land conversion rules could open or close future acquisition routes in that state.</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Saturday, 1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2026-08-01T03:36:32.003Z</dcterms:created>
  <dcterms:modified xsi:type="dcterms:W3CDTF">2026-08-01T03:36:32.028Z</dcterms:modified>
</cp:coreProperties>
</file>

<file path=docProps/custom.xml><?xml version="1.0" encoding="utf-8"?>
<Properties xmlns="http://schemas.openxmlformats.org/officeDocument/2006/custom-properties" xmlns:vt="http://schemas.openxmlformats.org/officeDocument/2006/docPropsVTypes"/>
</file>