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3 August 2026   •   Vol. I — Edition 013</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The optimistic BBC momentum tracked over the past several editions has a real counter-current: multiple outlets report the project "stalled"/"slowed" as farmers continue to "stick to legal compensation" demands rather than accept BDA's negotiated offers — the state has now formed a NEW high-level committee (chaired by the Additional Chief Secretary, Urban Development, with the BDA Commissioner and Law/Finance/Revenue principal secretaries) specifically to break the deadlock.</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Karnataka HC (Mar 2026) has clarified that RERA and the Karnataka Apartment Ownership Act, 1972 are not repugnant — the two statutes govern different stages of a project's life (RERA pre-completion, KAOA post-completion) and both apply, not one or the other.</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K-RERA retroactive-delay-fee ruling flagged earlier is now confirmed to have struck down an entire K-RERA CIRCULAR (not just one case's fee) for lacking legislative backing — a broader precedent than previously understood, applicable to any developer, not just the one case.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"SNC," the lowest bidder (L1) for BBC Package 1 flagged in earlier editions, is now confirmed as Shankara Narayana Constructions (bidding alongside Vishwa Samudra Engineering) — resolving an abbreviation this digest had left unexpanded.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NBR-specific news or fresh Grade A/mid-tier land deals since yesterday; the B-Khata→A-Khata window remains open through 23 Aug and the guidance-value hike remains un-gazetted.</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more contested picture than recent editions suggested: despite the 8-committee/18-location consultation structure, published village-wise compensation (₹2.50–15.60 Cr/acre) and the 40%-residential-plot offer, multiple outlets describe the project as "stalled"/"slowed" because many farmers continue to demand statutory legal-route compensation rather than accept BDA's negotiated offer. The state has now formed a NEW high-level committee — chaired by the Additional Chief Secretary (Urban Development), including the BDA Commissioner and the principal secretaries of Law, Finance and Revenue (Disaster Management) — specifically to resolve the deadlock. Package 1 (19.80 km, ₹3,348 Cr) drew bids from Shankara Narayana Constructions ("SNC") and Vishwa Samudra Engineering.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BBC land-acquisition completion as a genuinely contested, two-sided process — administrative momentum (committees, DCs, consent letters) is real, but so is organised farmer resistance to the negotiated-compensation framework; NBR's land-banking survey should model both an optimistic (near-term completion) and a pessimistic (continued multi-committee deadlock) timeline rather than picking 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20.19-acre Whitefield-Hoskote parcel (₹588.33 Cr, via Ananthay Properties) is now confirmed as a ₹5,200 Cr GDV mixed-use development spanning 4.2 msf of residential, commercial and retail space — on top of the Malur plotted development, Prestige JV on Old Madras Road, and Gunjur JDA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~121 acres FY26; Whitefield-Hoskote alone now valued at ₹5,200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scale-up from a land-cost figure (₹588 Cr) to a full project GDV (₹5,200 Cr) shows Brigade's Whitefield-Hoskote play is a major mixed-use bet, not just a land banking move — a useful reminder to track GDV, not just acquisition cost, when sizing up peer moves.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Going vertical with a ₹250 Cr project comprising 297 apartments across two slender 28-floor towers, on top of the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₹250 Cr twin-tower (28-floor) project;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Model BBC Phase 1 completion on TWO scenarios, not one — an optimistic near-term-completion case (8-committee push, consent letters, new deadlock-resolution committee) and a pessimistic continued-standoff case (farmers holding out for statutory legal-route compensation) — rather than treating recent momentum signals as a settled trajectory.</w:t>
      </w:r>
    </w:p>
    <w:p>
      <w:pPr>
        <w:pStyle w:val="ListParagraph"/>
        <w:numPr>
          <w:ilvl w:val="0"/>
          <w:numId w:val="2"/>
        </w:numPr>
        <w:spacing w:after="90"/>
      </w:pPr>
      <w:r>
        <w:rPr>
          <w:rFonts w:ascii="Calibri" w:cs="Calibri" w:eastAsia="Calibri" w:hAnsi="Calibri"/>
          <w:color w:val="1A1A1A"/>
          <w:sz w:val="19"/>
          <w:szCs w:val="19"/>
        </w:rPr>
        <w:t xml:space="preserve">Note the emerging critical commentary on BDA's rapid e-auction cadence ("raising policy concerns") alongside the commercial opportunity already on file — factor a chance of slower future auction cadence or added scrutiny into any multi-round BDA site-acquisition strategy.</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Treat BDA's RERA-promoter status as an open legal question, not a settled one — KREAT ruled BDA IS a promoter (must register layouts like NPKL), while a separate HC stay favours BDA on pre-2016 acquisitions; watch for the HC's final ruling before relying on either outcome for any NBR project involving BDA-acquired land.</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pStyle w:val="ListParagraph"/>
        <w:numPr>
          <w:ilvl w:val="0"/>
          <w:numId w:val="2"/>
        </w:numPr>
        <w:spacing w:after="90"/>
      </w:pPr>
      <w:r>
        <w:rPr>
          <w:rFonts w:ascii="Calibri" w:cs="Calibri" w:eastAsia="Calibri" w:hAnsi="Calibri"/>
          <w:color w:val="1A1A1A"/>
          <w:sz w:val="19"/>
          <w:szCs w:val="19"/>
        </w:rPr>
        <w:t xml:space="preserve">The NICE/BMICP ruling (29 Jul) and the Thalaghattapura BMICP quashings together show a documented pattern of Karnataka courts striking down old, dormant land acquisitions — extend legal-team review to any NBR parcel history involving a decades-old, never-executed acquisition notation.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Prestige's self-funded flyover approval and Puravankara's cross-developer construction-arm role (SICL working for both Embassy and Sattva) both show Grade A peers finding creative structures to unlock value or capacity beyond simple land acquisition — worth a standing watch item for alternative deal structures NBR could adapt.</w:t>
      </w:r>
    </w:p>
    <w:p>
      <w:pPr>
        <w:pStyle w:val="ListParagraph"/>
        <w:numPr>
          <w:ilvl w:val="0"/>
          <w:numId w:val="2"/>
        </w:numPr>
        <w:spacing w:after="90"/>
      </w:pPr>
      <w:r>
        <w:rPr>
          <w:rFonts w:ascii="Calibri" w:cs="Calibri" w:eastAsia="Calibri" w:hAnsi="Calibri"/>
          <w:color w:val="1A1A1A"/>
          <w:sz w:val="19"/>
          <w:szCs w:val="19"/>
        </w:rPr>
        <w:t xml:space="preserve">Adarsh Developers' ₹1,600 Cr+ funding raise and Sumadhura's move into 28-floor towers both show mid-tier peers scaling up ambition — reassess whether NBR's own mid-tier competitive set is still an accurate description of these peers' trajectories.</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moved from asking the Chief Secretary to consider replacing HYDRAA Commissioner Ranganath to directly ORDERING his removal (1 Aug 2026) over repeat contemptuous violations of court orders — the clearest resolution yet of the week-long escalation, against a backdrop of Hyderabad's 14% YoY residential registration decline (Jan 2026) and the HC's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removal order is a more concrete governance outcome than the ambiguous "replacement request" reported earlier this week — NBR should watch for the successor's enforcement posture, as a leadership change could shift HYDRAA's approach (for better or worse) on any Hyderabad parcel under diligence.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commissioner has now been formally ordered removed — a genuine governance reset for Hyderabad's enforcement posture, though direction (stricter or laxer under new leadership) is not yet known; hold off recalibrating Hyderabad risk assumptions until the successor's approach becomes clear.</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regardless of HYDRAA's leadership — institutional risk outlasts any single commissioner.</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3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2026-08-03T03:36:43.055Z</dcterms:created>
  <dcterms:modified xsi:type="dcterms:W3CDTF">2026-08-03T03:36:43.070Z</dcterms:modified>
</cp:coreProperties>
</file>

<file path=docProps/custom.xml><?xml version="1.0" encoding="utf-8"?>
<Properties xmlns="http://schemas.openxmlformats.org/officeDocument/2006/custom-properties" xmlns:vt="http://schemas.openxmlformats.org/officeDocument/2006/docPropsVTypes"/>
</file>