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4 September 2026   •   Vol. I — Edition 038</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Election Commission's revised Special Intensive Revision (SIR) schedule for Karnataka is now more precise: draft electoral roll published 24 Aug 2026, claims &amp; objections open 24 Aug – 23 Sept 2026, with disposal of claims/objections by 22 Oct 2026 — sharper than the "concluding only by November" estimate previously on file. This is the process the Supreme Court's 31 December 2026 GBA-election deadline depends on; the tighter October disposal date is a mild positive signal for that deadline holding.</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Telangana HC (1 Sept 2026) put HYDRAA Commissioner Ranganath's removal order ON HOLD, temporarily suspending a single judge's directive (issued in a Shantha Sriram Constructions contempt petition tied to the Lothukunta demolition dispute) that would have required the state government to remove him. A favourable near-term turn for HYDRAA's continuity, though the underlying contempt matter remains unresolved.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stretch: no new Grade A/mid-tier Bengaluru land deal, no fresh Karnataka HC land ruling since the Amit Garg K-RERA Registry decision, no public BDA response to the BBC Governor petition, and no developments in TNRERA,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4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2026-09-04T03:35:48.522Z</dcterms:created>
  <dcterms:modified xsi:type="dcterms:W3CDTF">2026-09-04T03:35:48.536Z</dcterms:modified>
</cp:coreProperties>
</file>

<file path=docProps/custom.xml><?xml version="1.0" encoding="utf-8"?>
<Properties xmlns="http://schemas.openxmlformats.org/officeDocument/2006/custom-properties" xmlns:vt="http://schemas.openxmlformats.org/officeDocument/2006/docPropsVTypes"/>
</file>