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Wednesday, 12 August 2026   •   Vol. I — Edition 022</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Telangana's government has decided to formally challenge the Telangana HC's HYDRAA-commissioner removal order, with CM Revanth Reddy vowing a legal fight — most likely an appeal to a Division Bench or the Supreme Court — arguing the order encroaches on the executive's Article 311 power over officer transfers/removals, not just a contempt-punishment question.</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The Grade A Q1 FY27 earnings picture is now fuller: Sobha posted record sales (+76% YoY to ₹3,656 Cr, net cash positive) and Puravankara posted pre-sales +28% YoY (₹1,439 Cr) plus 4 fresh land deals (~41.93 acres, ₹5,200 Cr GDV) — both strong growth, reinforcing that Prestige's ~46% pre-sales decline (flagged yesterday) looks like a company-specific/high-base effect rather than a sector-wide slowdown. Brigade's results (due 13 Aug) remain the last data point to confirm this.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No public BDA response yet to the Governor petition or the Madavara High Court petition on the Bengaluru Business Corridor; both remain pending.</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day otherwise: no new NBR-specific news, fresh mid-tier Bengaluru land deal, or new Karnataka HC ruling since yesterday.</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concrete transition date has now emerged: GBA is set to formally replace BBMP from 2 September 2026, with Maheshwar Rao named as the incoming commissioner — the first firm milestone since the Supreme Court's 30 June 2026 completion deadline passed without a confirmed poll date. This sits alongside the revised draft voter list (88.92 lakh voters, 5 corporations, 369 wards, 8,024 polling stations) and the government's dismissal of "delay" claims over the proposed 650+-member nomination process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 September handover date gives NBR a firm near-term marker for when civic-service, property-tax and governance responsibility formally shifts to the five-corporation structure — flag any pending NBR filings (khata, tax, approvals) that should be lodged with BBMP before the cutover rather than risk being caught mid-transition. Elections themselves remain a separate, still-unconfirmed timeline.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corridor's most direct legal challenge to date has now surfaced: the PRR Farmers and Site Owners Association has petitioned Governor Thaawar Chand Gehlot to scrap the project outright, arguing the original June 2007 acquisition notification lapsed under the old 1894 Land Acquisition Act for want of an award within 5 years — and separately noting BDA has not obtained a DPR, Social Impact Assessment, or NGT clearance, and is still using the 1894 Act rather than the 2013 LARR Act used by BMRCL/NHAI. Separately, 250+ farmers/landowners have filed a High Court petition specifically over the 3.8 km Madavara-intersection stretch. This layers onto the 65m/35m land-use revision, 2-month objection window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lapsed-notification argument is the SAME dormancy doctrine that has repeatedly succeeded for landowners in Karnataka HC rulings tracked in this digest (NICE/BMICP, Hosahalli, the 2001/2004 BDA annulment) — this is a materially stronger legal threat to the corridor's validity than the compensation disputes previously on file. Model a genuine scenario where courts could still quash all or part of the 2007 notification, not just a negotiated-compensation outcome; re-check any BBC-adjacent parcel for reliance on this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Outright purchase of a 2-acre parcel on Kanakapura Road, South Bengaluru (~₹400 Cr GDV) — its third distinct Bengaluru land move on file, alongside the Whitefield-Hoskote mixed-use development (₹5,200 Cr GDV) and Malur plotted development, plus the Prestige JV on Old Madras Road and Gunjur JDA. Q1 FY27 results are due 13 Aug 2026 (alongside its 31st AGM) — the next earnings data point to watch after Godrej's growth and Prestige's decline this same season.</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~123 acres FY26; Whitefield-Hoskote alone valued at ₹5,200 Cr GDV; new Kanakapura Road parcel ~₹400 Cr GDV; Q1 FY27 results due 13 Aug</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is now spreading bets across South (Kanakapura Road), East (Whitefield-Hoskote) and outer (Malur) Bengaluru simultaneously — a broader geographic spread than most peers tracked; its 13 Aug results will be the third Grade A earnings data point this season and worth checking against the Godrej/Prestige divergence.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confirm continued acquisition momentum on top of the Hennur Road JDA already on file: pre-sales rose 28% YoY to ₹1,439 Cr, collections +40% YoY to ₹1,199 Cr, average price realisation +18% YoY (₹10,589/sq ft), and 4 fresh land transactions (~41.93 acres, ~4.23 msf, ₹5,200 Cr GDV) were signed during the quarter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₹1,439 Cr Q1 FY27 pre-sales (+28% YoY); 4 new land deals/41.93 acres/₹5,200 Cr GDV in the quarter; 25.61 msf Bengaluru land bank;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now with a strong Q1 FY27 print to match — reinforces it as a benchmark for both land-acquisition cadence and price-realisation growth.</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(Apr-Jun 2026, reported 4 Aug) confirm the Bengaluru momentum already on file was no launch-week blip: national sales bookings hit a record ₹8,651 Cr (+22% YoY, its highest-ever Q1), with Bengaluru alone contributing 44% (~₹3,800 Cr) led by the Godrej Vanantara launch (₹3,237 Cr) — on top of Godrej Woodscapes (Whitefield-Budigere Cross, 2,000+ homes / ₹3,150 Cr+)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₹8,651 Cr Q1 FY27 national bookings (+22% YoY), Bengaluru = 44% share (~₹3,800 Cr); 17 deals / 443.5 acres FY26 Bengaluru-area land run;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44% Bengaluru share of a record national quarter is the strongest evidence yet that Godrej's growth is disproportionately Bengaluru-driven — reinforces it as the benchmark to watch most closely for both pricing and absorption-rate comparisons, though the falling profit margin despite rising bookings is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17-acre parcel on the Whitefield-Kannamangala corridor, East Bengaluru (announced 4 Aug) — ₹3,500 Cr GDV, 2.5+ msf saleable residential — on top of the ~₹5,000 Cr (₹50 billion) 3-year Sumadhura Infracon investment plan,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₹3,500 Cr / 17-acre Whitefield-Kannamangala JDA; ~₹5,000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confirmed 2 September handover date is a firm near-term marker — flag any pending NBR khata, tax or approval filings that should be lodged with BBMP before the cutover rather than risk them being caught mid-transition.</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With the B-Khata→A-Khata 2%-conversion window now just under two weeks from closing (23 Aug), fast-track conversion filings for any NBR-held or under-acquisition B-Khata parcels — this should be treated as a near-term legal-team deadline, not a background item.</w:t>
      </w:r>
    </w:p>
    <w:p>
      <w:pPr>
        <w:pStyle w:val="ListParagraph"/>
        <w:numPr>
          <w:ilvl w:val="0"/>
          <w:numId w:val="2"/>
        </w:numPr>
        <w:spacing w:after="90"/>
      </w:pPr>
      <w:r>
        <w:rPr>
          <w:rFonts w:ascii="Calibri" w:cs="Calibri" w:eastAsia="Calibri" w:hAnsi="Calibri"/>
          <w:color w:val="1A1A1A"/>
          <w:sz w:val="19"/>
          <w:szCs w:val="19"/>
        </w:rPr>
        <w:t xml:space="preserve">Confirm NBR has no outstanding demand traceable to the now-struck-down K-RERA retroactive-delay-fee circular — the ruling invalidated the circular itself, not just one developer's case, so it applies across the board.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With 3 of 4 reporting Grade A peers now posting strong Q1 FY27 growth (Godrej +22%, Sobha +76%, Puravankara +28%) against only Prestige's ~46% decline, the balance of evidence now points to Prestige's result being company-specific/high-base-driven rather than a sector-wide slowdown — Brigade's 13 Aug results are the last confirming data point, but NBR's own planning should not assume broad Bengaluru demand weakness from this season.</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is the standout balance-sheet result this earnings season — a useful benchmark for pairing growth with financial discipline in NBR's own land-acquisition funding strategy.</w:t>
      </w:r>
    </w:p>
    <w:p>
      <w:pPr>
        <w:pStyle w:val="ListParagraph"/>
        <w:numPr>
          <w:ilvl w:val="0"/>
          <w:numId w:val="2"/>
        </w:numPr>
        <w:spacing w:after="90"/>
      </w:pPr>
      <w:r>
        <w:rPr>
          <w:rFonts w:ascii="Calibri" w:cs="Calibri" w:eastAsia="Calibri" w:hAnsi="Calibri"/>
          <w:color w:val="1A1A1A"/>
          <w:sz w:val="19"/>
          <w:szCs w:val="19"/>
        </w:rPr>
        <w:t xml:space="preserve">Godrej's Q1 FY27 results confirm Bengaluru drove 44% of a record national quarter (~₹3,800 Cr of ₹8,651 Cr) — the clearest quantified evidence yet of how disproportionately Bengaluru weighs in a Grade A peer's national numbers; use this ratio as a fresh benchmark when framing NBR's own market-share ambitions to leadership.</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Separately, and unaffected by the leadership question, a Dec-2025 "Three-Account System" mandate requires developers to maintain three segregated project bank accounts with automated fund transfers and controlled withdrawals; Tamil Nadu's Registration Department is also rolling out "STAR 3.0" (Simplified and Transparent Administration of Registration), modernising registration services with more online options — layering onto the Jan 2026 guideline-value revision and 11% all-in stamp duty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Three-Account System is a compliance mechanic (not a governance question) that would apply to NBR immediately upon any Chennai project — factor its automated-transfer/controlled-withdrawal structure into cash-flow planning for any future TN entry, independent of the ongoing interim-panel situation. STAR 3.0's online-registration push is a minor efficiency positive worth noting but not yet actionable.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HYDRAA fight has escalated to an executive-vs-judiciary standoff: the Telangana government, led by CM Revanth Reddy, has decided to formally challenge the HC's commissioner-removal order (Justice Jukanti Anil Kumar, 27 Jul 2026, citing 63 pending contempt petitions), most likely via appeal to a Division Bench or the Supreme Court, arguing the order improperly overrides the executive's Article 311 power over officer transfers/removals. This layers onto the contempt notices already issued to five senior IAS/IPS officers (incl. Special Chief Secretary Jayesh Ranjan), the Sangareddy 861-acre reclamation, and the Section 22A land-freeze designations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government formally contesting a court-ordered removal on separation-of-powers grounds signals this dispute will run for months, not resolve quickly — NBR should not assume any near-term change in HYDRAA's enforcement posture or leadership either way, and should continue treating Section 22A flag status as an independent Hyderabad diligence item regardless of how the appeal plays out.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set its first firm capital-delivery target — Amaravati's Phase 1 build-out is due for completion by August 2028, per Minister Ponguru Narayana. APCRDA has begun a fresh round of Gram Sabhas across capital-region villages (since 4 Aug) to finalise the Master Plan and village-road network ahead of a government-set land-pooling completion timeline; Tadikonda and Mothadaka farmers have agreed in principle to the Land Pooling Scheme, while Kantheru farmers have sought more time. This layers onto the 20,494-acre acquisition breakdown (16,562+ acres from private patta holders)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August 2028 target gives NBR a concrete multi-year horizon for when Amaravati's core infrastructure should be substantially complete — useful for framing any long-horizon AP market-entry discussion, though land-pooling consent (Kantheru still undecided) remains the near-term watch item, not the completion date itself.</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is now drawing early political controversy: critics allege draft amendments to land-encroachment rules could effectively benefit illegal occupiers of government/assigned land and resort/commercial operators, rather than primarily protecting farmers as the initiative claims — a tension the 6-month expert committee will need to resolve before recommendations are finalised.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controversy is a reminder that Land Reforms 2.0's final shape is genuinely contested, not a settled pro-farmer reform — NBR's legal team should track which direction the expert committee leans before assuming any assignment-land conversion benefit, since a resort/encroachment-favouring outcome could just as easily tighten scrutiny on legitimate land transactions as a political counter-reaction.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Telangana's decision to formally appeal the HC's HYDRAA-commissioner removal order (on Article 311 separation-of-powers grounds) signals this dispute will run for months — do not assume any near-term change in HYDRAA's enforcement posture or leadership either way; Section 22A land-freeze designations remain a distinct, separate Hyderabad diligence risk to check on any parcel regardless of the appeal's outcome.</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Dec-2025 Three-Account System (segregated project bank accounts, automated transfers, controlled withdrawals) applies independent of the ongoing interim-panel situation — factor its cash-flow mechanics into any future Chennai project planning now, not just the governance-continuity risk.</w:t>
      </w:r>
    </w:p>
    <w:p>
      <w:pPr>
        <w:pStyle w:val="ListParagraph"/>
        <w:numPr>
          <w:ilvl w:val="0"/>
          <w:numId w:val="2"/>
        </w:numPr>
        <w:spacing w:after="90"/>
      </w:pPr>
      <w:r>
        <w:rPr>
          <w:rFonts w:ascii="Calibri" w:cs="Calibri" w:eastAsia="Calibri" w:hAnsi="Calibri"/>
          <w:color w:val="1A1A1A"/>
          <w:sz w:val="19"/>
          <w:szCs w:val="19"/>
        </w:rPr>
        <w:t xml:space="preserve">TNRERA is still operating under a 6-month interim panel (from 14 Jul 2026, following ex-chairperson Shiv Das Meena's resignation) — treat any TNRERA approval or registration sought during this window as subject to extra follow-up once permanent leadership is restored, if NBR ever pursues a Chennai entry or JV.</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Wednesday, 12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2026-08-12T03:36:41.709Z</dcterms:created>
  <dcterms:modified xsi:type="dcterms:W3CDTF">2026-08-12T03:36:41.722Z</dcterms:modified>
</cp:coreProperties>
</file>

<file path=docProps/custom.xml><?xml version="1.0" encoding="utf-8"?>
<Properties xmlns="http://schemas.openxmlformats.org/officeDocument/2006/custom-properties" xmlns:vt="http://schemas.openxmlformats.org/officeDocument/2006/docPropsVTypes"/>
</file>