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81A33" w:color="auto" w:val="clear"/>
        <w:spacing w:after="100" w:before="600"/>
        <w:jc w:val="center"/>
      </w:pPr>
      <w:r>
        <w:rPr>
          <w:rFonts w:ascii="Calibri" w:cs="Calibri" w:eastAsia="Calibri" w:hAnsi="Calibri"/>
          <w:b/>
          <w:bCs/>
          <w:color w:val="C9972C"/>
          <w:sz w:val="40"/>
          <w:szCs w:val="40"/>
        </w:rPr>
        <w:t xml:space="preserve">NBR GROUP</w:t>
      </w:r>
    </w:p>
    <w:p>
      <w:pPr>
        <w:shd w:fill="081A33" w:color="auto" w:val="clear"/>
        <w:spacing w:after="600"/>
        <w:jc w:val="center"/>
      </w:pPr>
      <w:r>
        <w:rPr>
          <w:rFonts w:ascii="Calibri" w:cs="Calibri" w:eastAsia="Calibri" w:hAnsi="Calibri"/>
          <w:b/>
          <w:bCs/>
          <w:color w:val="FFFFFF"/>
          <w:sz w:val="20"/>
          <w:szCs w:val="20"/>
        </w:rPr>
        <w:t xml:space="preserve">LEGAL DEPARTMENT  |  LAND ACQUISITION TEAM</w:t>
      </w:r>
    </w:p>
    <w:p>
      <w:pPr>
        <w:spacing w:before="900"/>
      </w:pPr>
    </w:p>
    <w:p>
      <w:pPr>
        <w:jc w:val="center"/>
      </w:pPr>
      <w:r>
        <w:rPr>
          <w:rFonts w:ascii="Calibri" w:cs="Calibri" w:eastAsia="Calibri" w:hAnsi="Calibri"/>
          <w:b/>
          <w:bCs/>
          <w:color w:val="0B2545"/>
          <w:sz w:val="48"/>
          <w:szCs w:val="48"/>
        </w:rPr>
        <w:t xml:space="preserve">DAILY MORNING</w:t>
      </w:r>
    </w:p>
    <w:p>
      <w:pPr>
        <w:spacing w:after="200"/>
        <w:jc w:val="center"/>
      </w:pPr>
      <w:r>
        <w:rPr>
          <w:rFonts w:ascii="Calibri" w:cs="Calibri" w:eastAsia="Calibri" w:hAnsi="Calibri"/>
          <w:b/>
          <w:bCs/>
          <w:color w:val="0B2545"/>
          <w:sz w:val="48"/>
          <w:szCs w:val="48"/>
        </w:rPr>
        <w:t xml:space="preserve">LEGAL &amp; LAND ACQUISITION DIGEST</w:t>
      </w:r>
    </w:p>
    <w:p>
      <w:pPr>
        <w:pBdr>
          <w:top w:val="single" w:color="C9972C" w:sz="24" w:space="8"/>
          <w:bottom w:val="single" w:color="C9972C" w:sz="24" w:space="8"/>
        </w:pBdr>
        <w:spacing w:after="200" w:before="200"/>
        <w:jc w:val="center"/>
      </w:pPr>
      <w:r>
        <w:rPr>
          <w:rFonts w:ascii="Calibri" w:cs="Calibri" w:eastAsia="Calibri" w:hAnsi="Calibri"/>
          <w:b/>
          <w:bCs/>
          <w:color w:val="C9972C"/>
          <w:sz w:val="24"/>
          <w:szCs w:val="24"/>
        </w:rPr>
        <w:t xml:space="preserve">Friday, 24 July 2026   •   Vol. I — Edition 003</w:t>
      </w:r>
    </w:p>
    <w:p>
      <w:pPr>
        <w:spacing w:before="500"/>
        <w:jc w:val="center"/>
      </w:pPr>
      <w:r>
        <w:rPr>
          <w:rFonts w:ascii="Calibri" w:cs="Calibri" w:eastAsia="Calibri" w:hAnsi="Calibri"/>
          <w:b/>
          <w:bCs/>
          <w:color w:val="FFFFFF"/>
          <w:sz w:val="22"/>
          <w:szCs w:val="22"/>
        </w:rPr>
        <w:t xml:space="preserve">LAYER 1</w:t>
      </w:r>
    </w:p>
    <w:p>
      <w:pPr>
        <w:shd w:fill="0B2545" w:color="auto" w:val="clear"/>
        <w:spacing w:after="160" w:before="0"/>
        <w:jc w:val="center"/>
      </w:pPr>
      <w:r>
        <w:rPr>
          <w:rFonts w:ascii="Calibri" w:cs="Calibri" w:eastAsia="Calibri" w:hAnsi="Calibri"/>
          <w:b/>
          <w:bCs/>
          <w:color w:val="FFFFFF"/>
          <w:sz w:val="22"/>
          <w:szCs w:val="22"/>
        </w:rPr>
        <w:t xml:space="preserve">Bengaluru &amp; Karnataka — Intensive Focus</w:t>
      </w:r>
    </w:p>
    <w:p>
      <w:pPr>
        <w:shd w:fill="C9972C" w:color="auto" w:val="clear"/>
        <w:spacing w:after="160"/>
        <w:jc w:val="center"/>
      </w:pPr>
      <w:r>
        <w:rPr>
          <w:rFonts w:ascii="Calibri" w:cs="Calibri" w:eastAsia="Calibri" w:hAnsi="Calibri"/>
          <w:b/>
          <w:bCs/>
          <w:color w:val="081A33"/>
          <w:sz w:val="22"/>
          <w:szCs w:val="22"/>
        </w:rPr>
        <w:t xml:space="preserve">LAYER 2  —  South India Regional Watch</w:t>
      </w:r>
    </w:p>
    <w:p>
      <w:pPr>
        <w:spacing w:before="900"/>
        <w:jc w:val="center"/>
      </w:pPr>
      <w:r>
        <w:rPr>
          <w:rFonts w:ascii="Calibri" w:cs="Calibri" w:eastAsia="Calibri" w:hAnsi="Calibri"/>
          <w:i/>
          <w:iCs/>
          <w:color w:val="1A1A1A"/>
          <w:sz w:val="18"/>
          <w:szCs w:val="18"/>
        </w:rPr>
        <w:t xml:space="preserve">Prepared for Senior Management  |  Strictly Internal &amp; Confidential</w:t>
      </w:r>
    </w:p>
    <w:p>
      <w:r>
        <w:br w:type="page"/>
      </w:r>
    </w:p>
    <w:p>
      <w:pPr>
        <w:shd w:fill="0B2545" w:color="auto" w:val="clear"/>
        <w:spacing w:after="160" w:before="280"/>
      </w:pPr>
      <w:r>
        <w:rPr>
          <w:rFonts w:ascii="Calibri" w:cs="Calibri" w:eastAsia="Calibri" w:hAnsi="Calibri"/>
          <w:b/>
          <w:bCs/>
          <w:color w:val="FFFFFF"/>
          <w:sz w:val="26"/>
          <w:szCs w:val="26"/>
        </w:rPr>
        <w:t xml:space="preserve">  EXECUTIVE SUMMARY — TOP SIGNALS TODAY</w:t>
      </w:r>
    </w:p>
    <w:p>
      <w:pPr>
        <w:spacing w:after="130"/>
      </w:pPr>
      <w:r>
        <w:rPr>
          <w:rFonts w:ascii="Calibri" w:cs="Calibri" w:eastAsia="Calibri" w:hAnsi="Calibri"/>
          <w:b/>
          <w:bCs/>
          <w:color w:val="A3121B"/>
          <w:sz w:val="19"/>
          <w:szCs w:val="19"/>
        </w:rPr>
        <w:t xml:space="preserve">[HIGH]  </w:t>
      </w:r>
      <w:r>
        <w:rPr>
          <w:rFonts w:ascii="Calibri" w:cs="Calibri" w:eastAsia="Calibri" w:hAnsi="Calibri"/>
          <w:color w:val="1A1A1A"/>
          <w:sz w:val="19"/>
          <w:szCs w:val="19"/>
        </w:rPr>
        <w:t xml:space="preserve">Puravankara signed a JDA for a 6.4-acre parcel in Sarjapur (₹1,000 Cr revenue potential, 0.8 msf saleable) — a Grade A peer now developing inside NBR's own home corridor, not just its periphery.</w:t>
      </w:r>
    </w:p>
    <w:p>
      <w:pPr>
        <w:spacing w:after="130"/>
      </w:pPr>
      <w:r>
        <w:rPr>
          <w:rFonts w:ascii="Calibri" w:cs="Calibri" w:eastAsia="Calibri" w:hAnsi="Calibri"/>
          <w:b/>
          <w:bCs/>
          <w:color w:val="9C6F00"/>
          <w:sz w:val="19"/>
          <w:szCs w:val="19"/>
        </w:rPr>
        <w:t xml:space="preserve">[HIGH]  </w:t>
      </w:r>
      <w:r>
        <w:rPr>
          <w:rFonts w:ascii="Calibri" w:cs="Calibri" w:eastAsia="Calibri" w:hAnsi="Calibri"/>
          <w:color w:val="1A1A1A"/>
          <w:sz w:val="19"/>
          <w:szCs w:val="19"/>
        </w:rPr>
        <w:t xml:space="preserve">BDA's Premium Sites e-Auction 2026 timeline is now fully clear: interest/registration closes 27 Jul 5 PM (EMD ₹4L/site), live bidding runs through 31 Jul 5 PM. One week left end-to-end for NBR to act.</w:t>
      </w:r>
    </w:p>
    <w:p>
      <w:pPr>
        <w:spacing w:after="130"/>
      </w:pPr>
      <w:r>
        <w:rPr>
          <w:rFonts w:ascii="Calibri" w:cs="Calibri" w:eastAsia="Calibri" w:hAnsi="Calibri"/>
          <w:b/>
          <w:bCs/>
          <w:color w:val="1E7B34"/>
          <w:sz w:val="19"/>
          <w:szCs w:val="19"/>
        </w:rPr>
        <w:t xml:space="preserve">[WATCH]  </w:t>
      </w:r>
      <w:r>
        <w:rPr>
          <w:rFonts w:ascii="Calibri" w:cs="Calibri" w:eastAsia="Calibri" w:hAnsi="Calibri"/>
          <w:color w:val="1A1A1A"/>
          <w:sz w:val="19"/>
          <w:szCs w:val="19"/>
        </w:rPr>
        <w:t xml:space="preserve">BDA has issued its first Bengaluru Business Corridor compensation awards (~100 acres), breaking a years-long deadlock — officials say the pace of awards will now accelerate, which should firm up the corridor-adjacent price-appreciation thesis sooner than expected.</w:t>
      </w:r>
    </w:p>
    <w:p>
      <w:pPr>
        <w:spacing w:after="130"/>
      </w:pPr>
      <w:r>
        <w:rPr>
          <w:rFonts w:ascii="Calibri" w:cs="Calibri" w:eastAsia="Calibri" w:hAnsi="Calibri"/>
          <w:b/>
          <w:bCs/>
          <w:color w:val="9C6F00"/>
          <w:sz w:val="19"/>
          <w:szCs w:val="19"/>
        </w:rPr>
        <w:t xml:space="preserve">[WATCH]  </w:t>
      </w:r>
      <w:r>
        <w:rPr>
          <w:rFonts w:ascii="Calibri" w:cs="Calibri" w:eastAsia="Calibri" w:hAnsi="Calibri"/>
          <w:color w:val="1A1A1A"/>
          <w:sz w:val="19"/>
          <w:szCs w:val="19"/>
        </w:rPr>
        <w:t xml:space="preserve">The Greater Bengaluru Authority is clearing a ₹437 Cr unpaid-dues backlog and merging the five corporations' databases ahead of GBA elections due by August 2026 (the first municipal poll in 11 years) — a live window in which khata/tax record continuity needs active verification, not assumption.</w:t>
      </w:r>
    </w:p>
    <w:p>
      <w:pPr>
        <w:spacing w:after="130"/>
      </w:pPr>
      <w:r>
        <w:rPr>
          <w:rFonts w:ascii="Calibri" w:cs="Calibri" w:eastAsia="Calibri" w:hAnsi="Calibri"/>
          <w:b/>
          <w:bCs/>
          <w:color w:val="0B2545"/>
          <w:sz w:val="19"/>
          <w:szCs w:val="19"/>
        </w:rPr>
        <w:t xml:space="preserve">[INFO]  </w:t>
      </w:r>
      <w:r>
        <w:rPr>
          <w:rFonts w:ascii="Calibri" w:cs="Calibri" w:eastAsia="Calibri" w:hAnsi="Calibri"/>
          <w:color w:val="1A1A1A"/>
          <w:sz w:val="19"/>
          <w:szCs w:val="19"/>
        </w:rPr>
        <w:t xml:space="preserve">Karnataka HC's contrasting rulings this month — Hosahalli acquisition quashed for fraud vs. the 516-acre Bidadi township acquisition upheld (PIL dismissed, no procedural violations found) — underline that clean statutory process, not just "finality," is what survives judicial review.</w:t>
      </w:r>
    </w:p>
    <w:p>
      <w:pPr>
        <w:spacing w:after="80"/>
      </w:pPr>
    </w:p>
    <w:p>
      <w:pPr>
        <w:shd w:fill="0B2545" w:color="auto" w:val="clear"/>
        <w:spacing w:after="160" w:before="280"/>
      </w:pPr>
      <w:r>
        <w:rPr>
          <w:rFonts w:ascii="Calibri" w:cs="Calibri" w:eastAsia="Calibri" w:hAnsi="Calibri"/>
          <w:b/>
          <w:bCs/>
          <w:color w:val="FFFFFF"/>
          <w:sz w:val="28"/>
          <w:szCs w:val="28"/>
        </w:rPr>
        <w:t xml:space="preserve">  LAYER 1  —  BENGALURU &amp; KARNATAKA INTENSIVE UPDATE</w:t>
      </w:r>
    </w:p>
    <w:p>
      <w:pPr>
        <w:pBdr>
          <w:bottom w:val="single" w:color="0B2545" w:sz="10" w:space="2"/>
        </w:pBdr>
        <w:spacing w:after="100" w:before="220"/>
      </w:pPr>
      <w:r>
        <w:rPr>
          <w:rFonts w:ascii="Calibri" w:cs="Calibri" w:eastAsia="Calibri" w:hAnsi="Calibri"/>
          <w:b/>
          <w:bCs/>
          <w:color w:val="0B2545"/>
          <w:sz w:val="22"/>
          <w:szCs w:val="22"/>
        </w:rPr>
        <w:t xml:space="preserve">1.1  Regulatory &amp; Legal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Topic</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Registrations &amp; Scope</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has now registered 28,000+ projects and 35,000+ agents since inception (up sharply from ~8,357/5,417 reported in July); K-RERA has also clarified that residential projects which applied for an Occupancy Certificate before 1 May 2017 are exempt from mandatory RERA registration.</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 registration status (or exemption basis) for every NBR project before marketing; where an older project relies on the pre-2017 OC exemption, keep the OC-application-date evidence on file in case of a buyer challenge.</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Enforcement — Adarsh &amp; Casagrand Orders</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K-RERA ordered Adarsh Nivas Pvt. Ltd. to pay ₹79.84 lakh delay-interest to a homebuyer and complete Adarsh Palm Acres Phase-2, Part-B within 60 days; separately, K-RERA ordered Casagrand Garden City to refund ₹52.74 lakh to a Bengaluru homebuyer over unfair GST charges.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Two of NBR's tracked mid-tier peers were sanctioned in the same week — proactively audit NBR's own possession-date buffers and confirm GST is being passed through to buyers strictly per statute, not on an inflated or non-transparent basis.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 GBA Transition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BBMP was officially dissolved in September 2025; GBA plus five new city corporations are in a "Phased Implementation" stage (2025–2026) — merging the corporations' databases, clearing a ₹437 Cr backlog of unpaid civic dues, and finalising the 2026 Master Plan; GBA elections are due by August 2026 (Supreme Court-directed), the first municipal poll in this area in 11 years.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Verify with counsel that e-Khata records, property-tax PIDs and pending approval applications filed under the old BBMP regime carry over cleanly during the database-merger window — treat the pre-election period as a higher-risk window for record continuity, not a formality.</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e-Khata / e-Aasthi / Kaveri 2.0</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Since July 2025 the BBMP/GBA e-Aasthi portal issues a single e-Khata PDF with QR-code verification (combining Certificate- and Extract-style data); Kaveri 2.0 continues to auto-trigger khata-transfer requests on registration.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Pre-clear e-Khata status (QR-verifiable) on all NBR land parcels and unsold inventory ahead of buyer registration to avoid transfer delays under the new single-document format.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B-Khata → A-Khata Window</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Conversion charge remains cut from 5% to 2% of guidance value for the special window (15 May – 23 Aug 2026) — now roughly one month from closing.</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Fast-track conversion for any NBR-held or under-acquisition B-Khata parcels; with ~4 weeks left, this should now be treated as a near-term legal-team deadline, not a background item.</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Guidance Value Revision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Feb 2026 revision (+6–15% Bengaluru urban, +4–8% rural) is in force; as of June 2026 a further proposed 10–15% increase remains un-gazetted, so current rates continue to apply pending formal notification.</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Consider sequencing any pending LOIs/registrations ahead of the next gazette notification — locking in acquisitions at today's guidance value could avoid a further step-up in stamp duty/registration cost.</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 Reforms Amendment 2025</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Land Reforms &amp; Certain Other Law (Amendment) Bill, 2025 expands Deputy Commissioners' Section 109 exemption power (0.5 ha → 4 ha, outside Bengaluru Urban/Rural); resale-after-7-years cases now need High-Power Committee (Chief Secretary) approval instead of State Government.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 any agricultural-to-non-agricultural conversion outside core Bengaluru districts, exemption approvals may now be faster at DC level — legal team to reassess conversion timelines on outstation parcels.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1.2  Land Acquisition &amp; Government Land News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Project / Area</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Financial / Scale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Premium Sites e-Auction 2026</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175 residential/corner/commercial sites; registration/interest closes 5 PM, 27 Jul 2026 (EMD ₹4 lakh/site payable on the government portal before live bidding); live bidding then runs to 5 PM, 31 Jul 2026, with a minimum increment of ₹500/sq. mtr.</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Time-critical: legal/land team has roughly one week end-to-end — finalise go/no-go on target sites in NBR's active micro-markets (Sarjapur, Yelahanka, Kanakapura) and arrange EMD funding now to keep the 27 Jul registration deadline in reach.</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Business Corridor (ex-PRR)</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has issued its first compensation awards, covering ~100 acres, breaking a years-long deadlock — officials say the pace of awards will accelerate from here. BDA needs ~2,560 acres in total (~₹20,511 Cr for land, ~₹26,786 Cr overall project cost); the Oct 2025 cabinet order already covers revised compensation for 948 acres (&gt;50% of requirement); Package 1 (20 km, ₹3,348 Cr) tenders are at final-award stage; completion targeted around 2029.</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award breakthrough should firm up the corridor-adjacent (North/East Bengaluru) price-appreciation thesis sooner than previously modelled — prioritise the NBR land-banking survey along the BBC alignment now, ahead of the accelerating award cycle.</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BDA Approval for 6,217-Acre Acquisition</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State government approved BDA's plan to acquire 6,217 acres across Bengaluru for planned development.</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Track layout notifications under this acquisition — potential TDR/compensation-linked land opportunities for NBR to evaluate on a case-by-case basis.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Road Litigation Withdrawn</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NICE (Bangalore-Mysore Infrastructure Corridor) withdrew its land acquisition case in Karnataka HC after a Chief-Secretary-led mediation meeting.</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Illustrates state preference for negotiated settlement over prolonged litigation on infrastructure-linked land disputes — a useful precedent for NBR's own JDA negotiations with government-linked landholders.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1.3  Judicial Developments (Karnataka High Court)</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Case / Project</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Court Ruling &amp; Holding</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Implication for NBR</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Hosahalli Village Acquisition Quashed</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quashed a 10+ acre land acquisition in Hosahalli village, Bengaluru South Taluk — proceedings dating to 1989 — citing fraud, suppression of material facts and manipulation of official records; the court relied on the G.V.K. Rao Committee's findings (which had recommended the acquisition be dropped) and set aside a single-judge order that had treated the acquisition as final.</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Reinforces that title defects and procedural fraud can unwind even a nearly 40-year-old "final" acquisition — NBR's diligence on any parcel with a house-building cooperative society or old acquisition history in its chain of title should go beyond face-value finality and check for underlying committee findings or record irregularities.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IMTMA v. State of Karnataka (KIAD Act)</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Division Bench set aside acquisition of land for a private entity's expansion, calling it a "colourable exercise of power" and "fraud on the statute"; 12 landowner appeals allowed.</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Any NBR acquisition routed through KIADB/industrial-area mechanisms must have unambiguous public-purpose documentation — this ruling raises the evidentiary bar and litigation risk for such routes.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Banashankari VI Stage (BDA)</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Division Bench upheld BDA's acquisition for the Banashankari VI Stage township, overturning a Jan 2025 single-bench order favouring landowners; ₹50,000 costs imposed on petitioners.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Confirms courts are increasingly upholding BDA's public-purpose township acquisitions on appeal — relevant precedent if NBR is affected by adjacent BDA layout notifications.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Bidadi Integrated Township — PIL Dismissed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Karnataka HC dismissed a PIL challenging acquisition of 516 acres for the Bidadi Integrated Township Project, finding no legal violations and confirming the process followed the Right to Fair Compensation Act (RFCTLARR), 2013.</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 useful counterpoint to Hosahalli: acquisitions run strictly per RFCTLARR procedure and documentation are being upheld even at large scale (516 acres) — reinforces that clean process, not just age or size, is what determines litigation survivability.</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1.4  Competitor Analysis — Top 8 Grade A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066"/>
        <w:gridCol w:w="1900"/>
        <w:gridCol w:w="15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50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Recent Land / Legal Development</w:t>
            </w:r>
          </w:p>
        </w:tc>
        <w:tc>
          <w:tcPr>
            <w:tcW w:type="dxa" w:w="19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Deal Size / GDV</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NBR Relevance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Added a 30+ acre parcel at KIADB Aerospace Park Phase 2 (North Bengaluru), sited near Brigade's upcoming second World Trade Center; also jointly took a 7.5-acre, 99-year lease parcel on Old Madras Road with Brigade Group for a commercial project. This follows the 21-acre Whitefield (₹450 Cr/₹4,500 Cr GDV) and Q1 FY26 102-acre multi-city (₹20,400 Cr GDV) buys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₹20,400 Cr GDV (Q1 FY26, multi-city) + new Aerospace Park/OMR parcels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Prestige is now both expanding its own aerospace-corridor land bank and co-investing with Brigade on capital-light commercial plays — watch for more Grade A joint-venture structures in North/East Bengaluru.</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Group</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Acquired a further 20.19-acre parcel in the Whitefield–Hoskote corridor for ₹588.33 Cr through subsidiary Ananthay Properties, in addition to partnering with Prestige on the 7.5-acre Old Madras Road commercial lease (99-year) and its Gunjur JDA (39-acre township, ₹7,200 Cr GDV).</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 deals / ~101 acres FY26 (incl. new Whitefield-Hoskote parcel)</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Brigade is now adding scale on its own (Whitefield-Hoskote) even as it co-invests with Prestige elsewhere — a dual-track land strategy worth benchmarking alongside its JV playbook.</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Sobha Limited</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₹1,150–1,160 Cr FY26 land spend continues at ~10 million sq ft/year pace; East Bengaluru (Sobha Altair) and Hoskote World City township remain the active fronts — no new July land news beyond the established run-rate.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 msf/yr acquisition target</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Bengaluru-concentrated strategy remains the closest scale comparable to NBR's own city-focused model.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Limited</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Signed a fresh JDA for a 6.4-acre parcel in Sarjapur, Bengaluru — 0.8 msf saleable area, ~₹1,000 Cr revenue potential — directly inside NBR's own home corridor; also secured (via subsidiary) a ₹133.34 Cr LOI for civil/structural works on Embassy's Eden project. Godrej Fund Management separately bought a Bengaluru parcel from Puravankara.</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~95 acres across 5 deals, ~₹10,000 Cr combined GDV, plus a fund-backed divestment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Puravankara is now developing inside the Sarjapur micro-market NBR itself operates in, not just its periphery — this is the most direct competitive overlap on this list and warrants immediate pricing/positioning review.</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 (Godrej's institutional-capital arm) acquired a Bengaluru land parcel from Puravankara, layering onto Godrej Properties' own 17-deal/443.5-acre FY26 run and its Sarjapur Road and East Bengaluru (NH-648/Whitefield) parcels already on file.</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17 deals / 443.5 acres (FY26, national) + fund-side acquisition from Puravankara</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is now active on Sarjapur Road both as a direct developer and, via its fund arm, as an institutional land buyer from peers — a two-track playbook worth benchmarking.</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 Group / Embassy Developments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 18.6-acre residential project off Whitefield on SH-648 (reported ongoing from March 2026) is planned with six high-rise towers and 1,200+ apartments; its Embassy Eden project has now engaged Puravankara's construction arm (₹133.34 Cr LOI, 34-month execution) alongside the previously reported ₹10,300 Cr FY26 North Bengaluru launch pipeline.</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₹10,300 Cr planned launches FY26 + 18.6-acre SH-648 project</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Embassy's SH-648/Whitefield project adds another large-scale East Bengaluru entrant alongside Prestige and Brigade — East Bengaluru corridor density is rising fast.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Salarpuria Sattva Group</w:t>
            </w:r>
          </w:p>
        </w:tc>
        <w:tc>
          <w:tcPr>
            <w:tcW w:type="dxa" w:w="50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Ongoing premium listings (Sattva Luxuria in Malleshwaram, Sattva Magnificia on Old Madras Road) continue to be refreshed on marketplace listings; no new land acquisition announced this week.</w:t>
            </w:r>
          </w:p>
        </w:tc>
        <w:tc>
          <w:tcPr>
            <w:tcW w:type="dxa" w:w="19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Multiple ongoing premium launches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Steady-state redevelopment/infill activity in mature localities — a model NBR could evaluate for infill parcels.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Shriram Properties</w:t>
            </w:r>
          </w:p>
        </w:tc>
        <w:tc>
          <w:tcPr>
            <w:tcW w:type="dxa" w:w="50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fresh July land or legal news; remains active in plotted development and premium apartments per prior reporting.</w:t>
            </w:r>
          </w:p>
        </w:tc>
        <w:tc>
          <w:tcPr>
            <w:tcW w:type="dxa" w:w="19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Plotted + apartment mix</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Plotted development remains Shriram's core strength — relevant benchmark if NBR expands its own plotted-development pipeline.</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1.5  Competitor Watch — 16 Mid-Tier &amp; Boutique Developers (Bengaluru)</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6166"/>
        <w:gridCol w:w="2000"/>
      </w:tblGrid>
      <w:tr>
        <w:trPr>
          <w:tblHeader/>
        </w:trPr>
        <w:tc>
          <w:tcPr>
            <w:tcW w:type="dxa" w:w="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w:t>
            </w:r>
          </w:p>
        </w:tc>
        <w:tc>
          <w:tcPr>
            <w:tcW w:type="dxa" w:w="18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w:t>
            </w:r>
          </w:p>
        </w:tc>
        <w:tc>
          <w:tcPr>
            <w:tcW w:type="dxa" w:w="61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Snapshot / Recent Activity</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Segment Focus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Century Real Estate</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Planning a ₹3,000 Cr mixed-use project on a 14-acre Outer Ring Road parcel (1.7 million sq ft residential across ~750 apartments plus 0.5 million sq ft commercial/retail), backed in part by a recent ₹1,850 Cr funding round tied to a ₹14,000 Cr overall GDV pipeline; also launching Century Attur Yelahanka (458 units).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Mixed-use ORR development, land-bank monetisation</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Assetz Property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pre-launch project "Assetz Melodies of Life" off Hosa Road and Sarjapur Road in Choodasandra — directly adjacent to NBR's own Sarjapur-Mullur footprint.</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apartments, redevelopment — now with a direct Sarjapur-adjacent entrant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Vaishnavi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residential/commercial/retail developer with a steady project pipeline.</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 retail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Adarsh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Proposed a new 12-acre residential project on CDP Road, Varthur (11 towers, G+25, 1,248 units planned), even as K-RERA's order to pay ₹79.84 lakh delay-interest and complete Adarsh Palm Acres Phase-2, Part-B within 60 days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 plotted development — expanding into East Bengaluru (Varthur) while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Concorde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long-standing mid-tier developer with residential and commercial portfolio across multiple micro-markets.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Nitesh Estates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boutique/premium developer with high-end residential and hospitality-linked mixed-use history.</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mixed-use</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7</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Mahaveer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focused on affordable-to-mid-segment apartments in peripheral growth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apartments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8</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SJR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active in residential and commercial segments, incl. IT-corridor adjacent projects.</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commercial/IT-corridor</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9</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Forayed formally into plotted development, targeting ~₹1,500 Cr topline from the new vertical; Sumadhura Elysium (Curve) at Panathur — 14.78 acres, 319 units from ₹2.5 Cr — has a Pre-RERA EOI with launch scheduled this month (July 2026).</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plotted (new vertical), multi-city (Bengaluru + Hyderabad)</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10</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DivyaSree Developers</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Bengaluru-origin developer with residential and commercial/IT-park legacy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commercial/IT parks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Total Environment</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design-led boutique developer known for premium, low-density residential projects.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boutique residential</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12</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Won Best Landscape Project (17th Realty+ Excellence Awards, Pune 2026) and Best Residential/Best Affordable Project (ET Real Estate Conclave &amp; Awards 2026), even as K-RERA's ₹52.74 lakh GST-overcharge refund order against Casagrand Garden City remains a live enforcement action.</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multi-city (South India) — award-winning portfolio, but under active K-RERA enforcement</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13</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Birla Estates</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recent entrant into Bengaluru via select premium project launches.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Premium residential, new entrant</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14</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Confident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Bengaluru-focused mid-segment residential and villa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Mid-segment residential, villas</w:t>
            </w:r>
          </w:p>
        </w:tc>
      </w:tr>
      <w:tr>
        <w:tc>
          <w:tcPr>
            <w:tcW w:type="dxa" w:w="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15</w:t>
            </w:r>
          </w:p>
        </w:tc>
        <w:tc>
          <w:tcPr>
            <w:tcW w:type="dxa" w:w="18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Bren Corporation</w:t>
            </w:r>
          </w:p>
        </w:tc>
        <w:tc>
          <w:tcPr>
            <w:tcW w:type="dxa" w:w="61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mid-tier developer active in apartment and villa developments across peripheral corridors.</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Apartments, villas</w:t>
            </w:r>
          </w:p>
        </w:tc>
      </w:tr>
      <w:tr>
        <w:tc>
          <w:tcPr>
            <w:tcW w:type="dxa" w:w="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16</w:t>
            </w:r>
          </w:p>
        </w:tc>
        <w:tc>
          <w:tcPr>
            <w:tcW w:type="dxa" w:w="18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Vaswani Group</w:t>
            </w:r>
          </w:p>
        </w:tc>
        <w:tc>
          <w:tcPr>
            <w:tcW w:type="dxa" w:w="61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news; established Bengaluru developer with residential and commercial project portfolio.</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Residential, commercial</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1.6  Recommendations for NBR Group — Bengaluru / Karnataka</w:t>
      </w:r>
    </w:p>
    <w:p>
      <w:pPr>
        <w:spacing w:after="80" w:before="140"/>
      </w:pPr>
      <w:r>
        <w:rPr>
          <w:rFonts w:ascii="Calibri" w:cs="Calibri" w:eastAsia="Calibri" w:hAnsi="Calibri"/>
          <w:b/>
          <w:bCs/>
          <w:color w:val="0B2545"/>
          <w:sz w:val="20"/>
          <w:szCs w:val="20"/>
        </w:rPr>
        <w:t xml:space="preserve">Land Acquisition Strategy</w:t>
      </w:r>
    </w:p>
    <w:p>
      <w:pPr>
        <w:pStyle w:val="ListParagraph"/>
        <w:numPr>
          <w:ilvl w:val="0"/>
          <w:numId w:val="2"/>
        </w:numPr>
        <w:spacing w:after="90"/>
      </w:pPr>
      <w:r>
        <w:rPr>
          <w:rFonts w:ascii="Calibri" w:cs="Calibri" w:eastAsia="Calibri" w:hAnsi="Calibri"/>
          <w:color w:val="1A1A1A"/>
          <w:sz w:val="19"/>
          <w:szCs w:val="19"/>
        </w:rPr>
        <w:t xml:space="preserve">Time-critical: arrange EMD funding (₹4L/site) and finalise go/no-go on BDA Premium Sites e-Auction 2026 targets now — registration closes 27 Jul, live bidding runs to 31 Jul; the full window is barely a week away.</w:t>
      </w:r>
    </w:p>
    <w:p>
      <w:pPr>
        <w:pStyle w:val="ListParagraph"/>
        <w:numPr>
          <w:ilvl w:val="0"/>
          <w:numId w:val="2"/>
        </w:numPr>
        <w:spacing w:after="90"/>
      </w:pPr>
      <w:r>
        <w:rPr>
          <w:rFonts w:ascii="Calibri" w:cs="Calibri" w:eastAsia="Calibri" w:hAnsi="Calibri"/>
          <w:color w:val="1A1A1A"/>
          <w:sz w:val="19"/>
          <w:szCs w:val="19"/>
        </w:rPr>
        <w:t xml:space="preserve">Puravankara's new 6.4-acre Sarjapur JDA and Assetz's "Melodies of Life" pre-launch (Hosa Road/Sarjapur Road) both now sit inside or directly adjacent to NBR's own home corridor — treat this as an urgent signal to accelerate NBR's own pending Sarjapur-Mullur parcel negotiations, not defer them.</w:t>
      </w:r>
    </w:p>
    <w:p>
      <w:pPr>
        <w:pStyle w:val="ListParagraph"/>
        <w:numPr>
          <w:ilvl w:val="0"/>
          <w:numId w:val="2"/>
        </w:numPr>
        <w:spacing w:after="90"/>
      </w:pPr>
      <w:r>
        <w:rPr>
          <w:rFonts w:ascii="Calibri" w:cs="Calibri" w:eastAsia="Calibri" w:hAnsi="Calibri"/>
          <w:color w:val="1A1A1A"/>
          <w:sz w:val="19"/>
          <w:szCs w:val="19"/>
        </w:rPr>
        <w:t xml:space="preserve">Sequence pending land LOIs and registrations ahead of the next (un-gazetted) guidance-value notification — locking in at today's rate avoids a further step-up once the proposed 10–15% hike is formalised.</w:t>
      </w:r>
    </w:p>
    <w:p>
      <w:pPr>
        <w:pStyle w:val="ListParagraph"/>
        <w:numPr>
          <w:ilvl w:val="0"/>
          <w:numId w:val="2"/>
        </w:numPr>
        <w:spacing w:after="90"/>
      </w:pPr>
      <w:r>
        <w:rPr>
          <w:rFonts w:ascii="Calibri" w:cs="Calibri" w:eastAsia="Calibri" w:hAnsi="Calibri"/>
          <w:color w:val="1A1A1A"/>
          <w:sz w:val="19"/>
          <w:szCs w:val="19"/>
        </w:rPr>
        <w:t xml:space="preserve">Prioritise the Bengaluru Business Corridor land-banking survey now that BDA has begun issuing compensation awards (~100 acres) and signalled an accelerating pace — the price-appreciation thesis may firm up faster than previously modelled.</w:t>
      </w:r>
    </w:p>
    <w:p>
      <w:pPr>
        <w:spacing w:after="80" w:before="140"/>
      </w:pPr>
      <w:r>
        <w:rPr>
          <w:rFonts w:ascii="Calibri" w:cs="Calibri" w:eastAsia="Calibri" w:hAnsi="Calibri"/>
          <w:b/>
          <w:bCs/>
          <w:color w:val="A3121B"/>
          <w:sz w:val="20"/>
          <w:szCs w:val="20"/>
        </w:rPr>
        <w:t xml:space="preserve">Legal &amp; Compliance</w:t>
      </w:r>
    </w:p>
    <w:p>
      <w:pPr>
        <w:pStyle w:val="ListParagraph"/>
        <w:numPr>
          <w:ilvl w:val="0"/>
          <w:numId w:val="2"/>
        </w:numPr>
        <w:spacing w:after="90"/>
      </w:pPr>
      <w:r>
        <w:rPr>
          <w:rFonts w:ascii="Calibri" w:cs="Calibri" w:eastAsia="Calibri" w:hAnsi="Calibri"/>
          <w:color w:val="1A1A1A"/>
          <w:sz w:val="19"/>
          <w:szCs w:val="19"/>
        </w:rPr>
        <w:t xml:space="preserve">Treat the GBA's pre-election, database-merger window (elections due by Aug 2026) as a higher-risk period for e-Khata/property-tax record continuity — confirm with counsel that any NBR parcel's records have migrated correctly rather than assuming automatic continuity.</w:t>
      </w:r>
    </w:p>
    <w:p>
      <w:pPr>
        <w:pStyle w:val="ListParagraph"/>
        <w:numPr>
          <w:ilvl w:val="0"/>
          <w:numId w:val="2"/>
        </w:numPr>
        <w:spacing w:after="90"/>
      </w:pPr>
      <w:r>
        <w:rPr>
          <w:rFonts w:ascii="Calibri" w:cs="Calibri" w:eastAsia="Calibri" w:hAnsi="Calibri"/>
          <w:color w:val="1A1A1A"/>
          <w:sz w:val="19"/>
          <w:szCs w:val="19"/>
        </w:rPr>
        <w:t xml:space="preserve">Continue treating the Adarsh Developers and Casagrand K-RERA enforcement orders as a live cautionary signal: audit NBR's own possession-date buffers and GST pass-through practices proactively.</w:t>
      </w:r>
    </w:p>
    <w:p>
      <w:pPr>
        <w:pStyle w:val="ListParagraph"/>
        <w:numPr>
          <w:ilvl w:val="0"/>
          <w:numId w:val="2"/>
        </w:numPr>
        <w:spacing w:after="90"/>
      </w:pPr>
      <w:r>
        <w:rPr>
          <w:rFonts w:ascii="Calibri" w:cs="Calibri" w:eastAsia="Calibri" w:hAnsi="Calibri"/>
          <w:color w:val="1A1A1A"/>
          <w:sz w:val="19"/>
          <w:szCs w:val="19"/>
        </w:rPr>
        <w:t xml:space="preserve">The Hosahalli-vs-Bidadi contrast (one quashed for fraud, one upheld for clean RFCTLARR process) is a clear instruction to legal: acquisitions and title chains stand or fall on documented statutory process — extend diligence on any NBR parcel with an older or cooperative-society acquisition history accordingly.</w:t>
      </w:r>
    </w:p>
    <w:p>
      <w:pPr>
        <w:spacing w:after="80" w:before="140"/>
      </w:pPr>
      <w:r>
        <w:rPr>
          <w:rFonts w:ascii="Calibri" w:cs="Calibri" w:eastAsia="Calibri" w:hAnsi="Calibri"/>
          <w:b/>
          <w:bCs/>
          <w:color w:val="1E7B34"/>
          <w:sz w:val="20"/>
          <w:szCs w:val="20"/>
        </w:rPr>
        <w:t xml:space="preserve">Competitive Positioning</w:t>
      </w:r>
    </w:p>
    <w:p>
      <w:pPr>
        <w:pStyle w:val="ListParagraph"/>
        <w:numPr>
          <w:ilvl w:val="0"/>
          <w:numId w:val="2"/>
        </w:numPr>
        <w:spacing w:after="90"/>
      </w:pPr>
      <w:r>
        <w:rPr>
          <w:rFonts w:ascii="Calibri" w:cs="Calibri" w:eastAsia="Calibri" w:hAnsi="Calibri"/>
          <w:color w:val="1A1A1A"/>
          <w:sz w:val="19"/>
          <w:szCs w:val="19"/>
        </w:rPr>
        <w:t xml:space="preserve">Puravankara developing inside Sarjapur itself (not just its periphery) is the most direct competitive overlap identified to date — commission an immediate pricing and positioning comparison against this specific JDA project.</w:t>
      </w:r>
    </w:p>
    <w:p>
      <w:pPr>
        <w:pStyle w:val="ListParagraph"/>
        <w:numPr>
          <w:ilvl w:val="0"/>
          <w:numId w:val="2"/>
        </w:numPr>
        <w:spacing w:after="90"/>
      </w:pPr>
      <w:r>
        <w:rPr>
          <w:rFonts w:ascii="Calibri" w:cs="Calibri" w:eastAsia="Calibri" w:hAnsi="Calibri"/>
          <w:color w:val="1A1A1A"/>
          <w:sz w:val="19"/>
          <w:szCs w:val="19"/>
        </w:rPr>
        <w:t xml:space="preserve">Brigade's dual-track model (own-account Whitefield-Hoskote acquisition plus a JV with Prestige elsewhere) and Prestige/Brigade's capital-light Old Madras Road lease both illustrate viable alliance structures NBR could adapt for parcels beyond its own balance-sheet capacity.</w:t>
      </w:r>
    </w:p>
    <w:p>
      <w:pPr>
        <w:pStyle w:val="ListParagraph"/>
        <w:numPr>
          <w:ilvl w:val="0"/>
          <w:numId w:val="2"/>
        </w:numPr>
        <w:spacing w:after="90"/>
      </w:pPr>
      <w:r>
        <w:rPr>
          <w:rFonts w:ascii="Calibri" w:cs="Calibri" w:eastAsia="Calibri" w:hAnsi="Calibri"/>
          <w:color w:val="1A1A1A"/>
          <w:sz w:val="19"/>
          <w:szCs w:val="19"/>
        </w:rPr>
        <w:t xml:space="preserve">Godrej Fund Management's purchase from Puravankara continues to point toward a maturing institutional-capital secondary market for land — keep evaluating fund-backed monetisation or JV capital partners as an option for NBR's own land bank.</w:t>
      </w:r>
    </w:p>
    <w:p>
      <w:pPr>
        <w:spacing w:after="120"/>
      </w:pPr>
    </w:p>
    <w:p>
      <w:r>
        <w:br w:type="page"/>
      </w:r>
    </w:p>
    <w:p>
      <w:pPr>
        <w:shd w:fill="C9972C" w:color="auto" w:val="clear"/>
        <w:spacing w:after="160" w:before="280"/>
      </w:pPr>
      <w:r>
        <w:rPr>
          <w:rFonts w:ascii="Calibri" w:cs="Calibri" w:eastAsia="Calibri" w:hAnsi="Calibri"/>
          <w:b/>
          <w:bCs/>
          <w:color w:val="FFFFFF"/>
          <w:sz w:val="28"/>
          <w:szCs w:val="28"/>
        </w:rPr>
        <w:t xml:space="preserve">  LAYER 2  —  SOUTH INDIA REGIONAL WATCH</w:t>
      </w:r>
    </w:p>
    <w:p>
      <w:pPr>
        <w:spacing w:after="160"/>
      </w:pPr>
      <w:r>
        <w:rPr>
          <w:rFonts w:ascii="Calibri" w:cs="Calibri" w:eastAsia="Calibri" w:hAnsi="Calibri"/>
          <w:i/>
          <w:iCs/>
          <w:color w:val="0B2545"/>
          <w:sz w:val="19"/>
          <w:szCs w:val="19"/>
        </w:rPr>
        <w:t xml:space="preserve">Tamil Nadu  •  Telangana  •  Andhra Pradesh  •  Kerala</w:t>
      </w:r>
    </w:p>
    <w:p>
      <w:pPr>
        <w:pBdr>
          <w:bottom w:val="single" w:color="0B2545" w:sz="10" w:space="2"/>
        </w:pBdr>
        <w:spacing w:after="100" w:before="220"/>
      </w:pPr>
      <w:r>
        <w:rPr>
          <w:rFonts w:ascii="Calibri" w:cs="Calibri" w:eastAsia="Calibri" w:hAnsi="Calibri"/>
          <w:b/>
          <w:bCs/>
          <w:color w:val="0B2545"/>
          <w:sz w:val="22"/>
          <w:szCs w:val="22"/>
        </w:rPr>
        <w:t xml:space="preserve">2.1  Regional Legal &amp; Regulatory Developments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5266"/>
        <w:gridCol w:w="3000"/>
      </w:tblGrid>
      <w:tr>
        <w:trPr>
          <w:tblHeader/>
        </w:trPr>
        <w:tc>
          <w:tcPr>
            <w:tcW w:type="dxa" w:w="22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State / City</w:t>
            </w:r>
          </w:p>
        </w:tc>
        <w:tc>
          <w:tcPr>
            <w:tcW w:type="dxa" w:w="52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Development</w:t>
            </w:r>
          </w:p>
        </w:tc>
        <w:tc>
          <w:tcPr>
            <w:tcW w:type="dxa" w:w="3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Impact for NBR Group</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Tamil Nadu / Chennai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TNRERA continues to drive buyer trust (ready-to-move demand +35% post-RERA); Jan 2026 guideline-value revision raised rates along OMR, ECR and GST Road growth corridors; stamp duty 7% + registration 4% (11% all-in) charged on the higher of guideline value or sale price.</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If NBR evaluates a Chennai entry or JV, price underwriting must use the higher of guideline/market value; OMR/ECR corridors carry the steepest revised guideline values.</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 Hyderabad</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Telangana Cabinet approved merging 27 municipalities/corporations abutting the Outer Ring Road into the Greater Hyderabad Municipal Corporation — a GHMC footprint expansion echoing Bengaluru's own BBMP→GBA restructuring; this follows the Telangana HC's 20 Jul order restraining HYDRAA from coercive action on 26.03 acres in Bahadurguda pending the bullet-train land dispute, while HYDRAA continues lake-restoration and general reclamation work elsewhere.</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Hyderabad is undergoing a governance boundary change of its own (GHMC expansion) at the same time Bengaluru is mid-transition (GBA) — any NBR diligence on a Hyderabad parcel near the ORR should specifically check which civic body will hold jurisdiction post-merger before relying on current approvals.</w:t>
            </w:r>
          </w:p>
        </w:tc>
      </w:tr>
      <w:tr>
        <w:tc>
          <w:tcPr>
            <w:tcW w:type="dxa" w:w="22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Andhra Pradesh / Amaravati</w:t>
            </w:r>
          </w:p>
        </w:tc>
        <w:tc>
          <w:tcPr>
            <w:tcW w:type="dxa" w:w="52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State Revenue Minister reaffirmed there will be no changes to the Amaravati capital region, following President Droupadi Murmu's April 2026 assent to the Andhra Pradesh Reorganisation (Amendment) Bill making Amaravati the sole permanent capital; land allotments to spiritual/religious organisations under the Amaravati Land Allotment Regulations, 2017 ("social amenities" clause) remain controversial, alongside the ongoing Phase II land-pooling (16,666.78 acres).</w:t>
            </w:r>
          </w:p>
        </w:tc>
        <w:tc>
          <w:tcPr>
            <w:tcW w:type="dxa" w:w="3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The Minister's reassurance plus the confirmed permanent-capital status continue to de-risk the long-horizon Amaravati thesis modestly, but the allotment controversy remains a reminder that CRDA-pooled land can be redirected to non-commercial uses — a relevant factor if NBR ever engages with CRDA-administered land.</w:t>
            </w:r>
          </w:p>
        </w:tc>
      </w:tr>
      <w:tr>
        <w:tc>
          <w:tcPr>
            <w:tcW w:type="dxa" w:w="22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Kerala</w:t>
            </w:r>
          </w:p>
        </w:tc>
        <w:tc>
          <w:tcPr>
            <w:tcW w:type="dxa" w:w="52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No new July development beyond the previously reported land-law expert committee proposal and 2026 Government Land Assignment Rules; June 2026 market data continues to show steady NRI-driven demand and improved digitised land records.</w:t>
            </w:r>
          </w:p>
        </w:tc>
        <w:tc>
          <w:tcPr>
            <w:tcW w:type="dxa" w:w="3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Land-law reform is still at the committee stage — not yet actionable, but NBR's legal team should keep tracking committee recommendations given potential impact on assignment-land conversions.</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2.2  Notable South India Land Deals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566"/>
        <w:gridCol w:w="1500"/>
      </w:tblGrid>
      <w:tr>
        <w:trPr>
          <w:tblHeader/>
        </w:trPr>
        <w:tc>
          <w:tcPr>
            <w:tcW w:type="dxa" w:w="24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Developer / Project</w:t>
            </w:r>
          </w:p>
        </w:tc>
        <w:tc>
          <w:tcPr>
            <w:tcW w:type="dxa" w:w="20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Location</w:t>
            </w:r>
          </w:p>
        </w:tc>
        <w:tc>
          <w:tcPr>
            <w:tcW w:type="dxa" w:w="4566"/>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Details</w:t>
            </w:r>
          </w:p>
        </w:tc>
        <w:tc>
          <w:tcPr>
            <w:tcW w:type="dxa" w:w="1500"/>
            <w:shd w:fill="0B2545" w:color="auto" w:val="clear"/>
            <w:tcMar>
              <w:top w:type="dxa" w:w="80"/>
              <w:left w:type="dxa" w:w="100"/>
              <w:bottom w:type="dxa" w:w="80"/>
              <w:right w:type="dxa" w:w="100"/>
            </w:tcMar>
            <w:vAlign w:val="center"/>
          </w:tcPr>
          <w:p>
            <w:pPr>
              <w:jc w:val="left"/>
            </w:pPr>
            <w:r>
              <w:rPr>
                <w:rFonts w:ascii="Calibri" w:cs="Calibri" w:eastAsia="Calibri" w:hAnsi="Calibri"/>
                <w:b/>
                <w:bCs/>
                <w:color w:val="FFFFFF"/>
                <w:sz w:val="18"/>
                <w:szCs w:val="18"/>
              </w:rPr>
              <w:t xml:space="preserve">Scale</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Properties / Godrej Fund Management</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(South India-wide franchise)</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Godrej Fund Management's purchase of a Bengaluru parcel from Puravankara illustrates the institutional-capital secondary market for land now active across Godrej's South India operations.</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Fund-backed acquisition from a peer developer</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Listed developers (South India, FY26)</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&amp;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5 land deals each in Chennai (74+ acres) and Hyderabad (~38 acres) among listed players in FY26; Coimbatore also saw listed-player activity.</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~112 acres combined (Chennai+Hyderabad)</w:t>
            </w:r>
          </w:p>
        </w:tc>
      </w:tr>
      <w:tr>
        <w:tc>
          <w:tcPr>
            <w:tcW w:type="dxa" w:w="24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Casagrand</w:t>
            </w:r>
          </w:p>
        </w:tc>
        <w:tc>
          <w:tcPr>
            <w:tcW w:type="dxa" w:w="20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Chennai (HQ) + Bengaluru expansion</w:t>
            </w:r>
          </w:p>
        </w:tc>
        <w:tc>
          <w:tcPr>
            <w:tcW w:type="dxa" w:w="4566"/>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Continues multi-city project delivery (incl. Casagrand Moondance, Bengaluru) alongside a K-RERA GST-refund enforcement order in Bengaluru this week.</w:t>
            </w:r>
          </w:p>
        </w:tc>
        <w:tc>
          <w:tcPr>
            <w:tcW w:type="dxa" w:w="1500"/>
            <w:shd w:fill="FFFFFF"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Multi-project, multi-city — under K-RERA enforcement</w:t>
            </w:r>
          </w:p>
        </w:tc>
      </w:tr>
      <w:tr>
        <w:tc>
          <w:tcPr>
            <w:tcW w:type="dxa" w:w="24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Sumadhura Group</w:t>
            </w:r>
          </w:p>
        </w:tc>
        <w:tc>
          <w:tcPr>
            <w:tcW w:type="dxa" w:w="20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Bengaluru + Hyderabad</w:t>
            </w:r>
          </w:p>
        </w:tc>
        <w:tc>
          <w:tcPr>
            <w:tcW w:type="dxa" w:w="4566"/>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plotted-development vertical (~₹1,500 Cr topline target) adds to its concurrent Bengaluru/Hyderabad pipeline, reinforcing cross-city land banking by mid-tier South India players.</w:t>
            </w:r>
          </w:p>
        </w:tc>
        <w:tc>
          <w:tcPr>
            <w:tcW w:type="dxa" w:w="1500"/>
            <w:shd w:fill="F2F2F2" w:color="auto" w:val="clear"/>
            <w:tcMar>
              <w:top w:type="dxa" w:w="70"/>
              <w:left w:type="dxa" w:w="100"/>
              <w:bottom w:type="dxa" w:w="70"/>
              <w:right w:type="dxa" w:w="100"/>
            </w:tcMar>
            <w:vAlign w:val="center"/>
          </w:tcPr>
          <w:p>
            <w:pPr>
              <w:jc w:val="left"/>
            </w:pPr>
            <w:r>
              <w:rPr>
                <w:rFonts w:ascii="Calibri" w:cs="Calibri" w:eastAsia="Calibri" w:hAnsi="Calibri"/>
                <w:b w:val="false"/>
                <w:bCs w:val="false"/>
                <w:color w:val="1A1A1A"/>
                <w:sz w:val="17"/>
                <w:szCs w:val="17"/>
              </w:rPr>
              <w:t xml:space="preserve">New plotted vertical, ~₹1,500 Cr target</w:t>
            </w:r>
          </w:p>
        </w:tc>
      </w:tr>
    </w:tbl>
    <w:p>
      <w:pPr>
        <w:spacing w:after="120"/>
      </w:pPr>
    </w:p>
    <w:p>
      <w:pPr>
        <w:pBdr>
          <w:bottom w:val="single" w:color="0B2545" w:sz="10" w:space="2"/>
        </w:pBdr>
        <w:spacing w:after="100" w:before="220"/>
      </w:pPr>
      <w:r>
        <w:rPr>
          <w:rFonts w:ascii="Calibri" w:cs="Calibri" w:eastAsia="Calibri" w:hAnsi="Calibri"/>
          <w:b/>
          <w:bCs/>
          <w:color w:val="0B2545"/>
          <w:sz w:val="22"/>
          <w:szCs w:val="22"/>
        </w:rPr>
        <w:t xml:space="preserve">2.3  Recommendations for NBR Group — South India</w:t>
      </w:r>
    </w:p>
    <w:p>
      <w:pPr>
        <w:spacing w:after="80" w:before="140"/>
      </w:pPr>
      <w:r>
        <w:rPr>
          <w:rFonts w:ascii="Calibri" w:cs="Calibri" w:eastAsia="Calibri" w:hAnsi="Calibri"/>
          <w:b/>
          <w:bCs/>
          <w:color w:val="0B2545"/>
          <w:sz w:val="20"/>
          <w:szCs w:val="20"/>
        </w:rPr>
        <w:t xml:space="preserve">Regional Positioning</w:t>
      </w:r>
    </w:p>
    <w:p>
      <w:pPr>
        <w:pStyle w:val="ListParagraph"/>
        <w:numPr>
          <w:ilvl w:val="0"/>
          <w:numId w:val="2"/>
        </w:numPr>
        <w:spacing w:after="90"/>
      </w:pPr>
      <w:r>
        <w:rPr>
          <w:rFonts w:ascii="Calibri" w:cs="Calibri" w:eastAsia="Calibri" w:hAnsi="Calibri"/>
          <w:color w:val="1A1A1A"/>
          <w:sz w:val="19"/>
          <w:szCs w:val="19"/>
        </w:rPr>
        <w:t xml:space="preserve">Treat Chennai (OMR/ECR/GST Road) and Hyderabad as medium-term watch markets rather than immediate expansion targets — Tamil Nadu's 11% all-in stamp duty and Telangana's HYDRAA enforcement risk both remain materially higher-friction than Karnataka, even after the Telangana HC's partial check on HYDRAA.</w:t>
      </w:r>
    </w:p>
    <w:p>
      <w:pPr>
        <w:pStyle w:val="ListParagraph"/>
        <w:numPr>
          <w:ilvl w:val="0"/>
          <w:numId w:val="2"/>
        </w:numPr>
        <w:spacing w:after="90"/>
      </w:pPr>
      <w:r>
        <w:rPr>
          <w:rFonts w:ascii="Calibri" w:cs="Calibri" w:eastAsia="Calibri" w:hAnsi="Calibri"/>
          <w:color w:val="1A1A1A"/>
          <w:sz w:val="19"/>
          <w:szCs w:val="19"/>
        </w:rPr>
        <w:t xml:space="preserve">Amaravati's now-confirmed permanent-capital status modestly de-risks the long-horizon opportunity there, but the fresh controversy over CRDA land allotments to non-commercial "social amenity" uses is a reminder to structure any future CRDA-linked engagement with clear end-use safeguards from the outset.</w:t>
      </w:r>
    </w:p>
    <w:p>
      <w:pPr>
        <w:pStyle w:val="ListParagraph"/>
        <w:numPr>
          <w:ilvl w:val="0"/>
          <w:numId w:val="2"/>
        </w:numPr>
        <w:spacing w:after="90"/>
      </w:pPr>
      <w:r>
        <w:rPr>
          <w:rFonts w:ascii="Calibri" w:cs="Calibri" w:eastAsia="Calibri" w:hAnsi="Calibri"/>
          <w:color w:val="1A1A1A"/>
          <w:sz w:val="19"/>
          <w:szCs w:val="19"/>
        </w:rPr>
        <w:t xml:space="preserve">If a South India footprint beyond Karnataka is on NBR's roadmap, Hyderabad diligence must independently verify government/lake-buffer land status given HYDRAA's active reclamation campaign — do not rely solely on seller title representations, even where HC intervention has occurred on a specific parcel elsewhere.</w:t>
      </w:r>
    </w:p>
    <w:p>
      <w:pPr>
        <w:spacing w:after="80" w:before="140"/>
      </w:pPr>
      <w:r>
        <w:rPr>
          <w:rFonts w:ascii="Calibri" w:cs="Calibri" w:eastAsia="Calibri" w:hAnsi="Calibri"/>
          <w:b/>
          <w:bCs/>
          <w:color w:val="A3121B"/>
          <w:sz w:val="20"/>
          <w:szCs w:val="20"/>
        </w:rPr>
        <w:t xml:space="preserve">Legal Watch</w:t>
      </w:r>
    </w:p>
    <w:p>
      <w:pPr>
        <w:pStyle w:val="ListParagraph"/>
        <w:numPr>
          <w:ilvl w:val="0"/>
          <w:numId w:val="2"/>
        </w:numPr>
        <w:spacing w:after="90"/>
      </w:pPr>
      <w:r>
        <w:rPr>
          <w:rFonts w:ascii="Calibri" w:cs="Calibri" w:eastAsia="Calibri" w:hAnsi="Calibri"/>
          <w:color w:val="1A1A1A"/>
          <w:sz w:val="19"/>
          <w:szCs w:val="19"/>
        </w:rPr>
        <w:t xml:space="preserve">Track Kerala's land-law expert committee recommendations — any reform to assignment-land conversion rules could open or close future acquisition routes in that state.</w:t>
      </w:r>
    </w:p>
    <w:p>
      <w:pPr>
        <w:pStyle w:val="ListParagraph"/>
        <w:numPr>
          <w:ilvl w:val="0"/>
          <w:numId w:val="2"/>
        </w:numPr>
        <w:spacing w:after="90"/>
      </w:pPr>
      <w:r>
        <w:rPr>
          <w:rFonts w:ascii="Calibri" w:cs="Calibri" w:eastAsia="Calibri" w:hAnsi="Calibri"/>
          <w:color w:val="1A1A1A"/>
          <w:sz w:val="19"/>
          <w:szCs w:val="19"/>
        </w:rPr>
        <w:t xml:space="preserve">Where NBR engages South India-based contractors, JV partners or landholders (e.g., in a Casagrand-style multi-city expansion posture), confirm TNRERA/TS-RERA/Kerala RERA registration status independently before any MoU is signed — and note that even established South India players (Casagrand) are currently under active K-RERA enforcement.</w:t>
      </w:r>
    </w:p>
    <w:p>
      <w:pPr>
        <w:spacing w:after="120"/>
      </w:pPr>
    </w:p>
    <w:p>
      <w:pPr>
        <w:pBdr>
          <w:bottom w:val="single" w:color="C9972C" w:sz="24" w:space="1"/>
        </w:pBdr>
        <w:spacing w:after="200"/>
      </w:pPr>
    </w:p>
    <w:p>
      <w:pPr>
        <w:pBdr>
          <w:bottom w:val="single" w:color="0B2545" w:sz="10" w:space="2"/>
        </w:pBdr>
        <w:spacing w:after="100" w:before="220"/>
      </w:pPr>
      <w:r>
        <w:rPr>
          <w:rFonts w:ascii="Calibri" w:cs="Calibri" w:eastAsia="Calibri" w:hAnsi="Calibri"/>
          <w:b/>
          <w:bCs/>
          <w:color w:val="0B2545"/>
          <w:sz w:val="22"/>
          <w:szCs w:val="22"/>
        </w:rPr>
        <w:t xml:space="preserve">Sources &amp; Publications Referenced</w:t>
      </w:r>
    </w:p>
    <w:p>
      <w:pPr>
        <w:pStyle w:val="ListParagraph"/>
        <w:numPr>
          <w:ilvl w:val="0"/>
          <w:numId w:val="2"/>
        </w:numPr>
        <w:spacing w:after="90"/>
      </w:pPr>
      <w:r>
        <w:rPr>
          <w:rFonts w:ascii="Calibri" w:cs="Calibri" w:eastAsia="Calibri" w:hAnsi="Calibri"/>
          <w:color w:val="444444"/>
          <w:sz w:val="17"/>
          <w:szCs w:val="17"/>
        </w:rPr>
        <w:t xml:space="preserve">Deccan Herald — Karnataka/Bengaluru state &amp; city desk</w:t>
      </w:r>
    </w:p>
    <w:p>
      <w:pPr>
        <w:pStyle w:val="ListParagraph"/>
        <w:numPr>
          <w:ilvl w:val="0"/>
          <w:numId w:val="2"/>
        </w:numPr>
        <w:spacing w:after="90"/>
      </w:pPr>
      <w:r>
        <w:rPr>
          <w:rFonts w:ascii="Calibri" w:cs="Calibri" w:eastAsia="Calibri" w:hAnsi="Calibri"/>
          <w:color w:val="444444"/>
          <w:sz w:val="17"/>
          <w:szCs w:val="17"/>
        </w:rPr>
        <w:t xml:space="preserve">Business Standard — Companies &amp; Capital Market News</w:t>
      </w:r>
    </w:p>
    <w:p>
      <w:pPr>
        <w:pStyle w:val="ListParagraph"/>
        <w:numPr>
          <w:ilvl w:val="0"/>
          <w:numId w:val="2"/>
        </w:numPr>
        <w:spacing w:after="90"/>
      </w:pPr>
      <w:r>
        <w:rPr>
          <w:rFonts w:ascii="Calibri" w:cs="Calibri" w:eastAsia="Calibri" w:hAnsi="Calibri"/>
          <w:color w:val="444444"/>
          <w:sz w:val="17"/>
          <w:szCs w:val="17"/>
        </w:rPr>
        <w:t xml:space="preserve">LiveLawBiz — RERA Cases Weekly Digest (29 Jun–5 Jul 2026)</w:t>
      </w:r>
    </w:p>
    <w:p>
      <w:pPr>
        <w:pStyle w:val="ListParagraph"/>
        <w:numPr>
          <w:ilvl w:val="0"/>
          <w:numId w:val="2"/>
        </w:numPr>
        <w:spacing w:after="90"/>
      </w:pPr>
      <w:r>
        <w:rPr>
          <w:rFonts w:ascii="Calibri" w:cs="Calibri" w:eastAsia="Calibri" w:hAnsi="Calibri"/>
          <w:color w:val="444444"/>
          <w:sz w:val="17"/>
          <w:szCs w:val="17"/>
        </w:rPr>
        <w:t xml:space="preserve">The420.in — Karnataka High Court / Hosahalli land-fraud coverage</w:t>
      </w:r>
    </w:p>
    <w:p>
      <w:pPr>
        <w:pStyle w:val="ListParagraph"/>
        <w:numPr>
          <w:ilvl w:val="0"/>
          <w:numId w:val="2"/>
        </w:numPr>
        <w:spacing w:after="90"/>
      </w:pPr>
      <w:r>
        <w:rPr>
          <w:rFonts w:ascii="Calibri" w:cs="Calibri" w:eastAsia="Calibri" w:hAnsi="Calibri"/>
          <w:color w:val="444444"/>
          <w:sz w:val="17"/>
          <w:szCs w:val="17"/>
        </w:rPr>
        <w:t xml:space="preserve">LiveLaw.in — Karnataka High Court coverage</w:t>
      </w:r>
    </w:p>
    <w:p>
      <w:pPr>
        <w:pStyle w:val="ListParagraph"/>
        <w:numPr>
          <w:ilvl w:val="0"/>
          <w:numId w:val="2"/>
        </w:numPr>
        <w:spacing w:after="90"/>
      </w:pPr>
      <w:r>
        <w:rPr>
          <w:rFonts w:ascii="Calibri" w:cs="Calibri" w:eastAsia="Calibri" w:hAnsi="Calibri"/>
          <w:color w:val="444444"/>
          <w:sz w:val="17"/>
          <w:szCs w:val="17"/>
        </w:rPr>
        <w:t xml:space="preserve">Mondaq / Khurana &amp; Khurana — RERA judgment analysis</w:t>
      </w:r>
    </w:p>
    <w:p>
      <w:pPr>
        <w:pStyle w:val="ListParagraph"/>
        <w:numPr>
          <w:ilvl w:val="0"/>
          <w:numId w:val="2"/>
        </w:numPr>
        <w:spacing w:after="90"/>
      </w:pPr>
      <w:r>
        <w:rPr>
          <w:rFonts w:ascii="Calibri" w:cs="Calibri" w:eastAsia="Calibri" w:hAnsi="Calibri"/>
          <w:color w:val="444444"/>
          <w:sz w:val="17"/>
          <w:szCs w:val="17"/>
        </w:rPr>
        <w:t xml:space="preserve">Karnataka RERA (rera.karnataka.gov.in) — official registrations &amp; orders</w:t>
      </w:r>
    </w:p>
    <w:p>
      <w:pPr>
        <w:pStyle w:val="ListParagraph"/>
        <w:numPr>
          <w:ilvl w:val="0"/>
          <w:numId w:val="2"/>
        </w:numPr>
        <w:spacing w:after="90"/>
      </w:pPr>
      <w:r>
        <w:rPr>
          <w:rFonts w:ascii="Calibri" w:cs="Calibri" w:eastAsia="Calibri" w:hAnsi="Calibri"/>
          <w:color w:val="444444"/>
          <w:sz w:val="17"/>
          <w:szCs w:val="17"/>
        </w:rPr>
        <w:t xml:space="preserve">Kaveri Online (Karnataka Dept. of Stamps &amp; Registration)</w:t>
      </w:r>
    </w:p>
    <w:p>
      <w:pPr>
        <w:pStyle w:val="ListParagraph"/>
        <w:numPr>
          <w:ilvl w:val="0"/>
          <w:numId w:val="2"/>
        </w:numPr>
        <w:spacing w:after="90"/>
      </w:pPr>
      <w:r>
        <w:rPr>
          <w:rFonts w:ascii="Calibri" w:cs="Calibri" w:eastAsia="Calibri" w:hAnsi="Calibri"/>
          <w:color w:val="444444"/>
          <w:sz w:val="17"/>
          <w:szCs w:val="17"/>
        </w:rPr>
        <w:t xml:space="preserve">TNREGINET — Tamil Nadu guideline value portal</w:t>
      </w:r>
    </w:p>
    <w:p>
      <w:pPr>
        <w:pStyle w:val="ListParagraph"/>
        <w:numPr>
          <w:ilvl w:val="0"/>
          <w:numId w:val="2"/>
        </w:numPr>
        <w:spacing w:after="90"/>
      </w:pPr>
      <w:r>
        <w:rPr>
          <w:rFonts w:ascii="Calibri" w:cs="Calibri" w:eastAsia="Calibri" w:hAnsi="Calibri"/>
          <w:color w:val="444444"/>
          <w:sz w:val="17"/>
          <w:szCs w:val="17"/>
        </w:rPr>
        <w:t xml:space="preserve">The News Minute / Siasat / NewsMeter — Telangana HC–HYDRAA (Bahadurguda) coverage</w:t>
      </w:r>
    </w:p>
    <w:p>
      <w:pPr>
        <w:pStyle w:val="ListParagraph"/>
        <w:numPr>
          <w:ilvl w:val="0"/>
          <w:numId w:val="2"/>
        </w:numPr>
        <w:spacing w:after="90"/>
      </w:pPr>
      <w:r>
        <w:rPr>
          <w:rFonts w:ascii="Calibri" w:cs="Calibri" w:eastAsia="Calibri" w:hAnsi="Calibri"/>
          <w:color w:val="444444"/>
          <w:sz w:val="17"/>
          <w:szCs w:val="17"/>
        </w:rPr>
        <w:t xml:space="preserve">The Federal — Amaravati land-allotment controversy coverage</w:t>
      </w:r>
    </w:p>
    <w:p>
      <w:pPr>
        <w:pStyle w:val="ListParagraph"/>
        <w:numPr>
          <w:ilvl w:val="0"/>
          <w:numId w:val="2"/>
        </w:numPr>
        <w:spacing w:after="90"/>
      </w:pPr>
      <w:r>
        <w:rPr>
          <w:rFonts w:ascii="Calibri" w:cs="Calibri" w:eastAsia="Calibri" w:hAnsi="Calibri"/>
          <w:color w:val="444444"/>
          <w:sz w:val="17"/>
          <w:szCs w:val="17"/>
        </w:rPr>
        <w:t xml:space="preserve">NewsOnAir (All India Radio) — Andhra Pradesh Reorganisation (Amendment) Bill, 2026</w:t>
      </w:r>
    </w:p>
    <w:p>
      <w:pPr>
        <w:pStyle w:val="ListParagraph"/>
        <w:numPr>
          <w:ilvl w:val="0"/>
          <w:numId w:val="2"/>
        </w:numPr>
        <w:spacing w:after="90"/>
      </w:pPr>
      <w:r>
        <w:rPr>
          <w:rFonts w:ascii="Calibri" w:cs="Calibri" w:eastAsia="Calibri" w:hAnsi="Calibri"/>
          <w:color w:val="444444"/>
          <w:sz w:val="17"/>
          <w:szCs w:val="17"/>
        </w:rPr>
        <w:t xml:space="preserve">Republic World / Outlook India — NBR Group company profile coverage</w:t>
      </w:r>
    </w:p>
    <w:p>
      <w:pPr>
        <w:pStyle w:val="ListParagraph"/>
        <w:numPr>
          <w:ilvl w:val="0"/>
          <w:numId w:val="2"/>
        </w:numPr>
        <w:spacing w:after="90"/>
      </w:pPr>
      <w:r>
        <w:rPr>
          <w:rFonts w:ascii="Calibri" w:cs="Calibri" w:eastAsia="Calibri" w:hAnsi="Calibri"/>
          <w:color w:val="444444"/>
          <w:sz w:val="17"/>
          <w:szCs w:val="17"/>
        </w:rPr>
        <w:t xml:space="preserve">Constrofacilitator — Godrej Fund Management / Puravankara land-deal coverage</w:t>
      </w:r>
    </w:p>
    <w:p>
      <w:pPr>
        <w:pStyle w:val="ListParagraph"/>
        <w:numPr>
          <w:ilvl w:val="0"/>
          <w:numId w:val="2"/>
        </w:numPr>
        <w:spacing w:after="90"/>
      </w:pPr>
      <w:r>
        <w:rPr>
          <w:rFonts w:ascii="Calibri" w:cs="Calibri" w:eastAsia="Calibri" w:hAnsi="Calibri"/>
          <w:color w:val="444444"/>
          <w:sz w:val="17"/>
          <w:szCs w:val="17"/>
        </w:rPr>
        <w:t xml:space="preserve">Business Standard — Puravankara Sarjapur JDA and Embassy Eden LOI coverage</w:t>
      </w:r>
    </w:p>
    <w:p>
      <w:pPr>
        <w:pStyle w:val="ListParagraph"/>
        <w:numPr>
          <w:ilvl w:val="0"/>
          <w:numId w:val="2"/>
        </w:numPr>
        <w:spacing w:after="90"/>
      </w:pPr>
      <w:r>
        <w:rPr>
          <w:rFonts w:ascii="Calibri" w:cs="Calibri" w:eastAsia="Calibri" w:hAnsi="Calibri"/>
          <w:color w:val="444444"/>
          <w:sz w:val="17"/>
          <w:szCs w:val="17"/>
        </w:rPr>
        <w:t xml:space="preserve">BookNewProperty / RealtyPromoo — Brigade Whitefield-Hoskote and Adarsh Varthur project coverage</w:t>
      </w:r>
    </w:p>
    <w:p>
      <w:pPr>
        <w:pStyle w:val="ListParagraph"/>
        <w:numPr>
          <w:ilvl w:val="0"/>
          <w:numId w:val="2"/>
        </w:numPr>
        <w:spacing w:after="90"/>
      </w:pPr>
      <w:r>
        <w:rPr>
          <w:rFonts w:ascii="Calibri" w:cs="Calibri" w:eastAsia="Calibri" w:hAnsi="Calibri"/>
          <w:color w:val="444444"/>
          <w:sz w:val="17"/>
          <w:szCs w:val="17"/>
        </w:rPr>
        <w:t xml:space="preserve">Deccan Herald — Bidadi Township PIL and Bengaluru Business Corridor award coverage</w:t>
      </w:r>
    </w:p>
    <w:p>
      <w:pPr>
        <w:pStyle w:val="ListParagraph"/>
        <w:numPr>
          <w:ilvl w:val="0"/>
          <w:numId w:val="2"/>
        </w:numPr>
        <w:spacing w:after="90"/>
      </w:pPr>
      <w:r>
        <w:rPr>
          <w:rFonts w:ascii="Calibri" w:cs="Calibri" w:eastAsia="Calibri" w:hAnsi="Calibri"/>
          <w:color w:val="444444"/>
          <w:sz w:val="17"/>
          <w:szCs w:val="17"/>
        </w:rPr>
        <w:t xml:space="preserve">TheRealtyToday / BookNewProperty — Greater Bengaluru Authority governance-model coverage</w:t>
      </w:r>
    </w:p>
    <w:p>
      <w:pPr>
        <w:pStyle w:val="ListParagraph"/>
        <w:numPr>
          <w:ilvl w:val="0"/>
          <w:numId w:val="2"/>
        </w:numPr>
        <w:spacing w:after="90"/>
      </w:pPr>
      <w:r>
        <w:rPr>
          <w:rFonts w:ascii="Calibri" w:cs="Calibri" w:eastAsia="Calibri" w:hAnsi="Calibri"/>
          <w:color w:val="444444"/>
          <w:sz w:val="17"/>
          <w:szCs w:val="17"/>
        </w:rPr>
        <w:t xml:space="preserve">eauctionsindia.com / eauctioninfo.com — BDA Premium Sites e-Auction 2026 timeline</w:t>
      </w:r>
    </w:p>
    <w:p>
      <w:pPr>
        <w:pStyle w:val="ListParagraph"/>
        <w:numPr>
          <w:ilvl w:val="0"/>
          <w:numId w:val="2"/>
        </w:numPr>
        <w:spacing w:after="90"/>
      </w:pPr>
      <w:r>
        <w:rPr>
          <w:rFonts w:ascii="Calibri" w:cs="Calibri" w:eastAsia="Calibri" w:hAnsi="Calibri"/>
          <w:color w:val="444444"/>
          <w:sz w:val="17"/>
          <w:szCs w:val="17"/>
        </w:rPr>
        <w:t xml:space="preserve">Telangana Today / NewsOnAir — GHMC-ORR municipality merger coverage</w:t>
      </w:r>
    </w:p>
    <w:p>
      <w:pPr>
        <w:pStyle w:val="ListParagraph"/>
        <w:numPr>
          <w:ilvl w:val="0"/>
          <w:numId w:val="2"/>
        </w:numPr>
        <w:spacing w:after="90"/>
      </w:pPr>
      <w:r>
        <w:rPr>
          <w:rFonts w:ascii="Calibri" w:cs="Calibri" w:eastAsia="Calibri" w:hAnsi="Calibri"/>
          <w:color w:val="444444"/>
          <w:sz w:val="17"/>
          <w:szCs w:val="17"/>
        </w:rPr>
        <w:t xml:space="preserve">Company disclosures/press releases — Prestige, Brigade, Sobha, Puravankara, Godrej Properties, Embassy, Sumadhura, Century Real Estate, Assetz, Casagrand, Adarsh Developers</w:t>
      </w:r>
    </w:p>
    <w:p>
      <w:pPr>
        <w:spacing w:after="200"/>
      </w:pPr>
    </w:p>
    <w:p>
      <w:pPr>
        <w:jc w:val="center"/>
      </w:pPr>
      <w:r>
        <w:rPr>
          <w:rFonts w:ascii="Calibri" w:cs="Calibri" w:eastAsia="Calibri" w:hAnsi="Calibri"/>
          <w:i/>
          <w:iCs/>
          <w:color w:val="666666"/>
          <w:sz w:val="15"/>
          <w:szCs w:val="15"/>
        </w:rPr>
        <w:t xml:space="preserve">This digest is compiled from publicly available industry publications, regulatory portals and news sources for internal briefing purposes only. It does not constitute legal advice.</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4"/>
        <w:szCs w:val="14"/>
      </w:rPr>
      <w:t xml:space="preserve">Strictly Private &amp; Confidential — For Internal Circulation Only  |  Page </w:t>
    </w:r>
    <w:r>
      <w:rPr>
        <w:rFonts w:ascii="Calibri" w:cs="Calibri" w:eastAsia="Calibri" w:hAnsi="Calibri"/>
        <w:color w:val="666666"/>
        <w:sz w:val="14"/>
        <w:szCs w:val="14"/>
      </w:rPr>
      <w:fldChar w:fldCharType="begin"/>
      <w:instrText xml:space="preserve">PAGE</w:instrText>
      <w:fldChar w:fldCharType="separate"/>
      <w:fldChar w:fldCharType="end"/>
    </w:r>
    <w:r>
      <w:rPr>
        <w:rFonts w:ascii="Calibri" w:cs="Calibri" w:eastAsia="Calibri" w:hAnsi="Calibri"/>
        <w:color w:val="666666"/>
        <w:sz w:val="14"/>
        <w:szCs w:val="14"/>
      </w:rPr>
      <w:t xml:space="preserve"> of </w:t>
    </w:r>
    <w:r>
      <w:rPr>
        <w:rFonts w:ascii="Calibri" w:cs="Calibri" w:eastAsia="Calibri" w:hAnsi="Calibri"/>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72C" w:sz="8" w:space="4"/>
      </w:pBdr>
      <w:tabs>
        <w:tab w:val="right" w:pos="10466"/>
      </w:tabs>
    </w:pPr>
    <w:r>
      <w:rPr>
        <w:rFonts w:ascii="Calibri" w:cs="Calibri" w:eastAsia="Calibri" w:hAnsi="Calibri"/>
        <w:b/>
        <w:bCs/>
        <w:color w:val="0B2545"/>
        <w:sz w:val="15"/>
        <w:szCs w:val="15"/>
      </w:rPr>
      <w:t xml:space="preserve">NBR GROUP — Legal &amp; Land Acquisition Digest</w:t>
    </w:r>
    <w:r>
      <w:rPr>
        <w:rFonts w:ascii="Calibri" w:cs="Calibri" w:eastAsia="Calibri" w:hAnsi="Calibri"/>
        <w:color w:val="666666"/>
        <w:sz w:val="15"/>
        <w:szCs w:val="15"/>
      </w:rPr>
      <w:t xml:space="preserve">	Friday, 24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2026-07-24T03:36:37.014Z</dcterms:created>
  <dcterms:modified xsi:type="dcterms:W3CDTF">2026-07-24T03:36:37.029Z</dcterms:modified>
</cp:coreProperties>
</file>

<file path=docProps/custom.xml><?xml version="1.0" encoding="utf-8"?>
<Properties xmlns="http://schemas.openxmlformats.org/officeDocument/2006/custom-properties" xmlns:vt="http://schemas.openxmlformats.org/officeDocument/2006/docPropsVTypes"/>
</file>