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Thursday, 24 September 2026   •   Vol. I — Edition 058</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Andhra Pradesh officials have now framed Amaravati's Phase II land-pooling ask more broadly at 40,000-45,000 acres (State Minister P. Narayana: ~10,000 acres for an airport/smart-industries/sports-city flagship cluster) — but farmers and activists have raised a notable new concern: Phase 1's pooled land (2014-19) has still not been fully developed or serviced, meaning the government has not fulfilled its commitments to the original contributors before seeking more land. Pedamaddur's own pooling has progressed to ~70.66-75%. A useful caution on AP's land-delivery execution track record, though still not a Karnataka/Bengaluru-relevant opportunity for NBR.</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update on the Karanth Layout objections window or public-application/allotment-restraint question, no update on the Siddhartha Vihar Trust BDA complaint or the Madras HC TNRERA title-jurisdiction ruling, no new Grade A/mid-tier Bengaluru land deal, no fresh Karnataka HC land ruling beyond what is already on file, no update on the flagged BBC (South)/Peripheral Ring Road-2 naming-ambiguity question, no public BDA response to the original BBC Governor petition, and no developments in HYDRAA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(~18,400 of 34,992 total sites, per the 40:60/60:40 compensation-ratio formula) on 31 Aug 2026 at the ₹6,000/sq ft (₹64,584/sq m) rate already on file, and has now (20 Sept 2026) invited formal objections from those landowners to the proposed allotment before finalising it, with a fixed deadline after which late objections will not be considered. Separately, the same 31 Aug notification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Three distinct tracks are now running in parallel: land-giver allotment (now with a formal objection window before finalisation), a separate 2,815-site general-public application window (deadline 15 Oct) whose actual allotment remains legally restrained, and BDA's stated intent to proceed strictly by the rules once the objection deadline passes. NBR should not assume the public-application phase converts into confirmed site supply on any fixed timeline — track the HC's further orders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entered Delhi-NCR for the first time — a 13.44-acre parcel in Greater Noida (₹340 Cr, via subsidiary Prudential Housing and Infrastructure Development Ltd), 4.57 msf saleable, ~₹5,200 Cr GDV, near the Yamuna Expressway and upcoming Noida International Airport (Jewar) — its largest FY27 land transaction and a strategic geographic diversification beyond South/West India. This layers onto the 7.83-acre South-East Bengaluru/Electronic City JDA (₹1,100 Cr GDV, 5th Bengaluru deal of FY27) already on file; FY27 business development across Delhi-NCR, Mumbai and Bengaluru now totals ~10.74 msf / ~₹14,100 Cr GDV. Q1 FY27 results had already confirmed continued Bengaluru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13.44-acre / ₹340 Cr Greater Noida (Delhi-NCR maiden entry, ~₹5,200 Cr GDV); 7.83-acre / ₹1,100 Cr South-East Bengaluru JDA; FY27 multi-city total ~10.74 msf / ~₹14,100 Cr GDV; ₹1,439 Cr Q1 FY27 Bengaluru pre-sales (+28% YoY)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and its Delhi-NCR entry is the first time any Top-8 peer in this tracker has diversified outside South/West India — worth watching whether this signals a broader trend of Bengaluru-anchored developers hedging into other metros, which could eventually affect the intensity of Bengaluru land-acquisition competition NBR faces from this peer specifically.</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Officials have now framed the total Phase II ask more broadly at 40,000-45,000 acres (State Municipal Administration Minister P. Narayana: ~5,000 acres for the airport, 2,500 for smart industries, 2,500 for a sports city — ~10,000 acres for these flagship projects, with the Minister claiming only ~25% of the full 45,000 acres will actually be used for public purposes). Pedamaddur's own pooling has progressed to ~70.66-75% (up from the figure previously on file). Farmers, activists and political groups have raised concerns about fertile-land loss, inadequate compensation and — notably — that Phase 1's pooled land has still not been fully developed/serviced, meaning the government has not yet fulfilled its commitments to the original 2014-19 contributors before asking for more land. This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40,000-45,000-acre Phase II framing (vs. the ~34,000 acres pooled in 2014-19) confirms Amaravati's capital build-out is scaling up materially. The unfulfilled-Phase-1-commitments critique is a genuinely new risk signal worth tracking: it suggests AP's execution capacity on SERVICING pooled land (not just acquiring it) has lagged, a relevant caution if NBR ever benchmarks AP's land-delivery reliability for a South India footprint beyond Karnataka. Still not an actionable NBR opportunity given no direct Karnataka/Bengaluru nexus.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The Madras HC's Balakrishnan v. TNRERA ruling confirms TNRERA registration does not settle disputed land title — if NBR ever pursues a Chennai project, independent title diligence (not just confirming TNRERA registration) remains essential, since a registered project can still carry a live civil-court title dispute.</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Deccan Herald — BDA Karanth Layout 60:40 landowner-allotment objections-window coverage</w:t>
      </w:r>
    </w:p>
    <w:p>
      <w:pPr>
        <w:pStyle w:val="ListParagraph"/>
        <w:numPr>
          <w:ilvl w:val="0"/>
          <w:numId w:val="2"/>
        </w:numPr>
        <w:spacing w:after="90"/>
      </w:pPr>
      <w:r>
        <w:rPr>
          <w:rFonts w:ascii="Calibri" w:cs="Calibri" w:eastAsia="Calibri" w:hAnsi="Calibri"/>
          <w:color w:val="444444"/>
          <w:sz w:val="17"/>
          <w:szCs w:val="17"/>
        </w:rPr>
        <w:t xml:space="preserve">Bar and Bench / Verdictum / Moneylife — Madras HC N. Balakrishnan v. TNRERA (title-dispute jurisdiction) ruling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ANI — Puravankara Delhi-NCR maiden-entry Greater Noida land-deal coverage</w:t>
      </w:r>
    </w:p>
    <w:p>
      <w:pPr>
        <w:pStyle w:val="ListParagraph"/>
        <w:numPr>
          <w:ilvl w:val="0"/>
          <w:numId w:val="2"/>
        </w:numPr>
        <w:spacing w:after="90"/>
      </w:pPr>
      <w:r>
        <w:rPr>
          <w:rFonts w:ascii="Calibri" w:cs="Calibri" w:eastAsia="Calibri" w:hAnsi="Calibri"/>
          <w:color w:val="444444"/>
          <w:sz w:val="17"/>
          <w:szCs w:val="17"/>
        </w:rPr>
        <w:t xml:space="preserve">The South First / Telangana Today / greatandhra.com — Amaravati Phase II 40,000-45,000-acre land-pooling scope and Phase-1-commitments-unfulfilled concerns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Thursday, 24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2026-09-24T03:44:27.695Z</dcterms:created>
  <dcterms:modified xsi:type="dcterms:W3CDTF">2026-09-24T03:44:27.705Z</dcterms:modified>
</cp:coreProperties>
</file>

<file path=docProps/custom.xml><?xml version="1.0" encoding="utf-8"?>
<Properties xmlns="http://schemas.openxmlformats.org/officeDocument/2006/custom-properties" xmlns:vt="http://schemas.openxmlformats.org/officeDocument/2006/docPropsVTypes"/>
</file>