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25 September 2026   •   Vol. I — Edition 059</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Two fresh Karnataka HC land-acquisition rulings point in opposite directions within days of each other: on 21 Sept the Court RESTORED a 2014-quashed DRDO acquisition at Benniganahalli for the Centre for Artificial Intelligence and Robotics (CAIR), holding national-security public purpose trumps personal rights; while on 29 Aug (newly captured on this tracker) the Court had QUASHED a 1,938-acre Karnataka Housing Board acquisition for Suryanagar Phase IV near Bannerghatta National Park, holding no public purpose can override elephant-corridor/eco-sensitive-zone conservation. Together these confirm Karnataka courts are deciding land-acquisition validity on purpose-specific merits (defence vs. environment vs. ordinary housing) rather than a uniform pro- or anti-acquisition tilt — directly relevant to how NBR should weigh acquisition risk on any parcel touching a defence, forest or eco-sensitive designation.</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Incremental movement on two already-tracked threads: Karanth Layout landowners have reportedly negotiated the BDA's proposed ₹54,000 administrative/development fee for a 30×40 site down toward ₹12,000 following discussions (exact formal confirmation still pending); and Kerala's CM has now constituted the promised "Land Reforms 2.0" expert committee (24 Sept, chaired by former Land Revenue Commissioner A.T. James) to review the Kerala Land Reforms Act, 1963 and related statutes. No update on the Siddhartha Vihar Trust BDA complaint, the Madras HC TNRERA ruling, the BBC (South)/Peripheral Ring Road-2 naming-ambiguity question, or HYDRAA beyond what is on file. No new Grade A/mid-tier Bengaluru land deal and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 Admin-Fee Pushback</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(~18,400 of 34,992 total sites, per the 40:60/60:40 compensation-ratio formula) on 31 Aug 2026 at the ₹6,000/sq ft (₹64,584/sq m) rate already on file, and has now (20 Sept 2026) invited formal objections from those landowners to the proposed allotment before finalising it, with a fixed deadline after which late objections will not be considered. Separately, the same 31 Aug notification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 Landowners have separately objected to a proposed ₹54,000 administrative/development fee for a standard 30×40 site as excessive, and reports indicate this could be negotiated down to roughly ₹12,000 following discussions with BDA — a formal fee notification is still awaited.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Three distinct tracks are now running in parallel: land-giver allotment (now with a formal objection window before finalisation, and a live fee dispute that could materially change the landowner's net cost per site), a separate 2,815-site general-public application window (deadline 15 Oct) whose actual allotment remains legally restrained, and BDA's stated intent to proceed strictly by the rules once the objection deadline passes. NBR should not assume the public-application phase converts into confirmed site supply on any fixed timeline — track the HC's further orders and the final administrative-fee figure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DRDO v. Special Land Acquisition Officer — CAIR Acquisition Restored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D.K. Singh and H. Shanthi Bhushan, 21 Sept 2026) set aside a 2014 single-judge order that had quashed land acquisition at Benniganahalli, Bengaluru for DRDO's Centre for Artificial Intelligence and Robotics (CAIR), holding the interests of national security must take precedence over personal rights and that the acquisition served a public purpose connected with national defence, while preserving the landowners' right to lawful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defence-linked public-purpose acquisition was upheld on appeal despite a decade-old adverse ruling — a useful counterweight to the pattern of dormancy/fraud-based quashings already on file, confirming that acquisitions with a clear, high-priority public-purpose justification (here, national security) can survive even a long-pending legal challenge. Not directly relevant to NBR's commercial land dealings, but useful context on how far Karnataka courts will stretch "public purpose" when national-security interests are asserted.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KHB v. Objectors — Suryanagar Phase IV (Bannerghatta Elephant Corridor)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D.K. Singh and H. Shanthi Bhushan, 29 Aug 2026 — newly captured on this tracker) quashed the Karnataka Housing Board's acquisition of 1,938+ acres for the Suryanagar Phase IV layout, holding the land falls within the Karadikkal-Madeshwara elephant corridor and the 268.96 sq km Bannerghatta National Park eco-sensitive zone, and that elephants "cannot be displaced from their homes or treated as occupants without any rights" — the Bench held no public purpose, however legitimate, can override environmental conservation. Separately reported: acquisition activity for the same layout has continued on the ground despite the quashing, per local coverage.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significant new precedent for any NBR parcel near a designated eco-sensitive zone, wildlife corridor or protected-area buffer (Bannerghatta ESZ or otherwise) — environmental/wildlife-corridor status can defeat even a large-scale (1,938-acre), government-agency-led housing acquisition outright, not merely delay or reduce it. Legal team should map any NBR land bank or prospective parcel against known elephant-corridor and ESZ boundaries before assuming a KHB/BDA-notified layout is a safe acquisition target. The reported on-the-ground continuation despite quashing is also worth noting as an enforcement/compliance-gap data point.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entered Delhi-NCR for the first time — a 13.44-acre parcel in Greater Noida (₹340 Cr, via subsidiary Prudential Housing and Infrastructure Development Ltd), 4.57 msf saleable, ~₹5,200 Cr GDV, near the Yamuna Expressway and upcoming Noida International Airport (Jewar) — its largest FY27 land transaction and a strategic geographic diversification beyond South/West India. This layers onto the 7.83-acre South-East Bengaluru/Electronic City JDA (₹1,100 Cr GDV, 5th Bengaluru deal of FY27) already on file; FY27 business development across Delhi-NCR, Mumbai and Bengaluru now totals ~10.74 msf / ~₹14,100 Cr GDV. Q1 FY27 results had already confirmed continued Bengaluru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13.44-acre / ₹340 Cr Greater Noida (Delhi-NCR maiden entry, ~₹5,200 Cr GDV); 7.83-acre / ₹1,100 Cr South-East Bengaluru JDA; FY27 multi-city total ~10.74 msf / ~₹14,100 Cr GDV; ₹1,439 Cr Q1 FY27 Bengaluru pre-sales (+28% YoY)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and its Delhi-NCR entry is the first time any Top-8 peer in this tracker has diversified outside South/West India — worth watching whether this signals a broader trend of Bengaluru-anchored developers hedging into other metros, which could eventually affect the intensity of Bengaluru land-acquisition competition NBR faces from this peer specifically.</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 Parent Aditya Birla Real Estate has separately guided (10 Sept 2026) for ₹10,000-15,000 Cr of new business development at Birla Estates in FY27 — a multi-city target, not Bengaluru-specific, but the largest forward-looking BD figure yet disclosed by this peer.</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 ₹10,000-15,000 Cr FY27 multi-city BD target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Officials have now framed the total Phase II ask more broadly at 40,000-45,000 acres (State Municipal Administration Minister P. Narayana: ~5,000 acres for the airport, 2,500 for smart industries, 2,500 for a sports city — ~10,000 acres for these flagship projects, with the Minister claiming only ~25% of the full 45,000 acres will actually be used for public purposes). Pedamaddur's own pooling has progressed to ~70.66-75% (up from the figure previously on file). Farmers, activists and political groups have raised concerns about fertile-land loss, inadequate compensation and — notably — that Phase 1's pooled land has still not been fully developed/serviced, meaning the government has not yet fulfilled its commitments to the original 2014-19 contributors before asking for more land. This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40,000-45,000-acre Phase II framing (vs. the ~34,000 acres pooled in 2014-19) confirms Amaravati's capital build-out is scaling up materially. The unfulfilled-Phase-1-commitments critique is a genuinely new risk signal worth tracking: it suggests AP's execution capacity on SERVICING pooled land (not just acquiring it) has lagged, a relevant caution if NBR ever benchmarks AP's land-delivery reliability for a South India footprint beyond Karnataka. Still not an actionable NBR opportunity given no direct Karnataka/Bengaluru nexus.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on two fronts: separately from the 17 Aug 2026 Vizhinjam-linked acquisition-speedup announcement already on file, State Revenue Minister A.P. Anilkumar stated (19 Sept 2026) the government will systematically ease land-ceiling and other regulatory hurdles to unlock parcels for industrial and tourism investment; and the promised expert committee has now actually been constituted (24 Sept 2026, government order) — a five-member panel chaired by former Land Revenue Commissioner A.T. James — tasked with reviewing the Kerala Land Reforms Act, 1963 and related statutes (ceiling laws, tenancy rules, acquisition/conversion/mutation procedures, land-records digitisation) and submitting revision recommendations.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committee's formation, with a named chair and a concrete scope, converts "Land Reforms 2.0" from an announced intention into an active review process — NBR's legal team should now identify and track this committee (A.T. James panel) directly as the authoritative source for any eventual ceiling/conversion-rule change, rather than relying on ministerial statements alone. The pro-industry framing (Minister Anilkumar's 19 Sept remarks) is a modestly positive signal for any eventual Kerala market-entry, but the committee's own recommendations — not the announcement — will determine the actual outcome and its pro-farmer vs. pro-investment balance.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The Madras HC's Balakrishnan v. TNRERA ruling confirms TNRERA registration does not settle disputed land title — if NBR ever pursues a Chennai project, independent title diligence (not just confirming TNRERA registration) remains essential, since a registered project can still carry a live civil-court title dispute.</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Deccan Herald — BDA Karanth Layout 60:40 landowner-allotment objections-window coverage</w:t>
      </w:r>
    </w:p>
    <w:p>
      <w:pPr>
        <w:pStyle w:val="ListParagraph"/>
        <w:numPr>
          <w:ilvl w:val="0"/>
          <w:numId w:val="2"/>
        </w:numPr>
        <w:spacing w:after="90"/>
      </w:pPr>
      <w:r>
        <w:rPr>
          <w:rFonts w:ascii="Calibri" w:cs="Calibri" w:eastAsia="Calibri" w:hAnsi="Calibri"/>
          <w:color w:val="444444"/>
          <w:sz w:val="17"/>
          <w:szCs w:val="17"/>
        </w:rPr>
        <w:t xml:space="preserve">Bar and Bench / Verdictum / Moneylife — Madras HC N. Balakrishnan v. TNRERA (title-dispute jurisdiction) ruling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ANI — Puravankara Delhi-NCR maiden-entry Greater Noida land-deal coverage</w:t>
      </w:r>
    </w:p>
    <w:p>
      <w:pPr>
        <w:pStyle w:val="ListParagraph"/>
        <w:numPr>
          <w:ilvl w:val="0"/>
          <w:numId w:val="2"/>
        </w:numPr>
        <w:spacing w:after="90"/>
      </w:pPr>
      <w:r>
        <w:rPr>
          <w:rFonts w:ascii="Calibri" w:cs="Calibri" w:eastAsia="Calibri" w:hAnsi="Calibri"/>
          <w:color w:val="444444"/>
          <w:sz w:val="17"/>
          <w:szCs w:val="17"/>
        </w:rPr>
        <w:t xml:space="preserve">The South First / Telangana Today / greatandhra.com — Amaravati Phase II 40,000-45,000-acre land-pooling scope and Phase-1-commitments-unfulfilled concerns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pStyle w:val="ListParagraph"/>
        <w:numPr>
          <w:ilvl w:val="0"/>
          <w:numId w:val="2"/>
        </w:numPr>
        <w:spacing w:after="90"/>
      </w:pPr>
      <w:r>
        <w:rPr>
          <w:rFonts w:ascii="Calibri" w:cs="Calibri" w:eastAsia="Calibri" w:hAnsi="Calibri"/>
          <w:color w:val="444444"/>
          <w:sz w:val="17"/>
          <w:szCs w:val="17"/>
        </w:rPr>
        <w:t xml:space="preserve">LiveLaw / Bar and Bench / LawChakra — Karnataka HC DRDO/CAIR (Benniganahalli) land-acquisition-restoration ruling coverage</w:t>
      </w:r>
    </w:p>
    <w:p>
      <w:pPr>
        <w:pStyle w:val="ListParagraph"/>
        <w:numPr>
          <w:ilvl w:val="0"/>
          <w:numId w:val="2"/>
        </w:numPr>
        <w:spacing w:after="90"/>
      </w:pPr>
      <w:r>
        <w:rPr>
          <w:rFonts w:ascii="Calibri" w:cs="Calibri" w:eastAsia="Calibri" w:hAnsi="Calibri"/>
          <w:color w:val="444444"/>
          <w:sz w:val="17"/>
          <w:szCs w:val="17"/>
        </w:rPr>
        <w:t xml:space="preserve">LiveLaw / Bar and Bench / Law Trend — Karnataka HC Bannerghatta elephant-corridor (Suryanagar Phase IV, KHB) land-acquisition-quashing coverage</w:t>
      </w:r>
    </w:p>
    <w:p>
      <w:pPr>
        <w:pStyle w:val="ListParagraph"/>
        <w:numPr>
          <w:ilvl w:val="0"/>
          <w:numId w:val="2"/>
        </w:numPr>
        <w:spacing w:after="90"/>
      </w:pPr>
      <w:r>
        <w:rPr>
          <w:rFonts w:ascii="Calibri" w:cs="Calibri" w:eastAsia="Calibri" w:hAnsi="Calibri"/>
          <w:color w:val="444444"/>
          <w:sz w:val="17"/>
          <w:szCs w:val="17"/>
        </w:rPr>
        <w:t xml:space="preserve">Green Minute — Suryanagar Phase IV on-the-ground acquisition-continuation-despite-quashing coverage</w:t>
      </w:r>
    </w:p>
    <w:p>
      <w:pPr>
        <w:pStyle w:val="ListParagraph"/>
        <w:numPr>
          <w:ilvl w:val="0"/>
          <w:numId w:val="2"/>
        </w:numPr>
        <w:spacing w:after="90"/>
      </w:pPr>
      <w:r>
        <w:rPr>
          <w:rFonts w:ascii="Calibri" w:cs="Calibri" w:eastAsia="Calibri" w:hAnsi="Calibri"/>
          <w:color w:val="444444"/>
          <w:sz w:val="17"/>
          <w:szCs w:val="17"/>
        </w:rPr>
        <w:t xml:space="preserve">NammaWard — Dr K Shivaram Karanth Layout administrative-fee negotiation (₹54,000 to ~₹12,000, 30×40 site) coverage</w:t>
      </w:r>
    </w:p>
    <w:p>
      <w:pPr>
        <w:pStyle w:val="ListParagraph"/>
        <w:numPr>
          <w:ilvl w:val="0"/>
          <w:numId w:val="2"/>
        </w:numPr>
        <w:spacing w:after="90"/>
      </w:pPr>
      <w:r>
        <w:rPr>
          <w:rFonts w:ascii="Calibri" w:cs="Calibri" w:eastAsia="Calibri" w:hAnsi="Calibri"/>
          <w:color w:val="444444"/>
          <w:sz w:val="17"/>
          <w:szCs w:val="17"/>
        </w:rPr>
        <w:t xml:space="preserve">UNI India / The Statesman — Kerala land-law easing (Minister A.P. Anilkumar, 19 Sept 2026) coverage</w:t>
      </w:r>
    </w:p>
    <w:p>
      <w:pPr>
        <w:pStyle w:val="ListParagraph"/>
        <w:numPr>
          <w:ilvl w:val="0"/>
          <w:numId w:val="2"/>
        </w:numPr>
        <w:spacing w:after="90"/>
      </w:pPr>
      <w:r>
        <w:rPr>
          <w:rFonts w:ascii="Calibri" w:cs="Calibri" w:eastAsia="Calibri" w:hAnsi="Calibri"/>
          <w:color w:val="444444"/>
          <w:sz w:val="17"/>
          <w:szCs w:val="17"/>
        </w:rPr>
        <w:t xml:space="preserve">Keraleeyam / Kerala Government Order — Kerala "Land Reforms 2.0" five-member expert committee (A.T. James, 24 Sept 2026) constitution coverage</w:t>
      </w:r>
    </w:p>
    <w:p>
      <w:pPr>
        <w:pStyle w:val="ListParagraph"/>
        <w:numPr>
          <w:ilvl w:val="0"/>
          <w:numId w:val="2"/>
        </w:numPr>
        <w:spacing w:after="90"/>
      </w:pPr>
      <w:r>
        <w:rPr>
          <w:rFonts w:ascii="Calibri" w:cs="Calibri" w:eastAsia="Calibri" w:hAnsi="Calibri"/>
          <w:color w:val="444444"/>
          <w:sz w:val="17"/>
          <w:szCs w:val="17"/>
        </w:rPr>
        <w:t xml:space="preserve">Business Standard — Birla Estates FY27 ₹10,000-15,000 Cr business-development target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25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2026-09-25T03:53:50.244Z</dcterms:created>
  <dcterms:modified xsi:type="dcterms:W3CDTF">2026-09-25T03:53:50.257Z</dcterms:modified>
</cp:coreProperties>
</file>

<file path=docProps/custom.xml><?xml version="1.0" encoding="utf-8"?>
<Properties xmlns="http://schemas.openxmlformats.org/officeDocument/2006/custom-properties" xmlns:vt="http://schemas.openxmlformats.org/officeDocument/2006/docPropsVTypes"/>
</file>