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Monday, 17 August 2026   •   Vol. I — Edition 027</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A3121B"/>
          <w:sz w:val="19"/>
          <w:szCs w:val="19"/>
        </w:rPr>
        <w:t xml:space="preserve">[HIGH]  </w:t>
      </w:r>
      <w:r>
        <w:rPr>
          <w:rFonts w:ascii="Calibri" w:cs="Calibri" w:eastAsia="Calibri" w:hAnsi="Calibri"/>
          <w:color w:val="1A1A1A"/>
          <w:sz w:val="19"/>
          <w:szCs w:val="19"/>
        </w:rPr>
        <w:t xml:space="preserve">Telangana HC has restrained HYDRAA from carrying out demolitions in Hyderabad's city and municipal areas — except for encroachments on river bodies, nalas and public roads — until it places a documented Standard Operating Procedure before the court, with Justice B. Vijaysen Reddy citing repeated violations of earlier orders and the total absence of any recorded demolition SOP after hearing hundreds of related cases.</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Karnataka HC has stayed a government SIT probe into alleged encroachment of 290+ acres of gomala (grazing) land by a trust linked to the Art of Living Foundation, holding that the mandatory joint survey under the Karnataka Land Revenue Act, 1964 was not conducted before authorities concluded encroachment had occurred — reinforcing that procedural compliance, not just factual encroachment, determines whether a government-land action survives judicial review. Next hearing today.</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Andhra Pradesh's State Investment Promotion Board approved ₹2,08,406 Cr in investment proposals across 25 projects (11 Aug), expected to generate 21,627 direct jobs — a significant macro-economic signal for the state.</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No public BDA response yet to the BBC Governor petition or the Madavara High Court petition; Phase 1 land acquisition remains at ~83% complete. Otherwise quiet: no new NBR-specific news or fresh Grade A/mid-tier Bengaluru land deal.</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Two separate tracks are now clearly diverging: administrative handover (GBA formally replacing BBMP from 2 September 2026, Maheshwar Rao as incoming commissioner) remains on schedule, but civic ELECTIONS have been pushed back a third time — the Supreme Court extended the poll deadline from 31 August to 31 December 2026, citing the ongoing Special Intensive Revision (SIR) of electoral rolls (concluding only by November), with a stern warning against further delay. Karnataka BJP has filed a separate SC plea alleging the state government deliberately delayed polls fearing electoral loss.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NBR should treat the 2 September administrative handover as the operative near-term date for khata/tax/approval filings, but now expect elected local governance (and any associated policy shifts) to remain unsettled until at least December 2026 — a materially longer governance-uncertainty window than previously assumed. The BJP's political challenge adds a layer of uncertainty to whether even the December deadline holds.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Conversion charge remains cut from 5% to 2% of guidance value for the special window (15 May – 23 Aug 2026) — now roughly one month from closing.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Fast-track conversion for any NBR-held or under-acquisition B-Khata parcels; with ~4 weeks left, this should now be treated as a near-term legal-team deadline, not a background item.</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13th BDA e-auction this year (175 sites), following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 Next hearing today (17 Aug).</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when calibrating its own near-term absorption-rate assumptions.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confirm continued acquisition momentum on top of the Hennur Road JDA already on file: pre-sales rose 28% YoY to ₹1,439 Cr, collections +40% YoY to ₹1,199 Cr, average price realisation +18% YoY (₹10,589/sq ft), and 4 fresh land transactions (~41.93 acres, ~4.23 msf, ₹5,200 Cr GDV) were signed during the quarter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₹1,439 Cr Q1 FY27 pre-sales (+28% YoY); 4 new land deals/41.93 acres/₹5,200 Cr GDV in the quarter; 25.61 msf Bengaluru land bank; SICL holds ₹444.5 Cr+ in third-party construction contracts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now with a strong Q1 FY27 print to match — reinforces it as a benchmark for both land-acquisition cadence and price-realisation growth.</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(Apr-Jun 2026, reported 4 Aug) confirm the Bengaluru momentum already on file was no launch-week blip: national sales bookings hit a record ₹8,651 Cr (+22% YoY, its highest-ever Q1), with Bengaluru alone contributing 44% (~₹3,800 Cr) led by the Godrej Vanantara launch (₹3,237 Cr) — on top of Godrej Woodscapes (Whitefield-Budigere Cross, 2,000+ homes / ₹3,150 Cr+)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₹8,651 Cr Q1 FY27 national bookings (+22% YoY), Bengaluru = 44% share (~₹3,800 Cr); 17 deals / 443.5 acres FY26 Bengaluru-area land run; ₹29,444 Cr FY24-25 national bookings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confirmed 44% Bengaluru share of a record national quarter is the strongest evidence yet that Godrej's growth is disproportionately Bengaluru-driven — reinforces it as the benchmark to watch most closely for both pricing and absorption-rate comparisons, though the falling profit margin despite rising bookings is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fresh ₹600 Cr Yelahanka row-housing JDA (7 acres) flagged yesterday.</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Shriram's multi-city diversification (adding Pune) alongside its Bengaluru row-housing move suggests it is pursuing growth on two fronts simultaneously — geographic expansion and product-format diversification.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Signed a fresh JDA for a 17-acre parcel on the Whitefield-Kannamangala corridor, East Bengaluru (announced 4 Aug) — ₹3,500 Cr GDV, 2.5+ msf saleable residential — on top of the ~₹5,000 Cr (₹50 billion) 3-year Sumadhura Infracon investment plan, ₹250 Cr twin-tower project, 40-acre pipeline (~₹6,000 Cr potential), Sumadhura Aikya (Soukya Road) and Panathur plotted foray already on file.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₹3,500 Cr / 17-acre Whitefield-Kannamangala JDA; ~₹5,000 Cr 3-year investment plan (Sumadhura Infracon);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Art of Living SIT stay confirms Karnataka courts require a mandatory joint survey before any government/gomala-land encroachment finding can stand — ensure any NBR diligence on government-land-adjacent parcels documents proper joint-survey compliance, since its absence is itself grounds to unwind an adverse finding.</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pStyle w:val="ListParagraph"/>
        <w:numPr>
          <w:ilvl w:val="0"/>
          <w:numId w:val="2"/>
        </w:numPr>
        <w:spacing w:after="90"/>
      </w:pPr>
      <w:r>
        <w:rPr>
          <w:rFonts w:ascii="Calibri" w:cs="Calibri" w:eastAsia="Calibri" w:hAnsi="Calibri"/>
          <w:color w:val="1A1A1A"/>
          <w:sz w:val="19"/>
          <w:szCs w:val="19"/>
        </w:rPr>
        <w:t xml:space="preserve">With the B-Khata→A-Khata 2%-conversion window now just under two weeks from closing (23 Aug), fast-track conversion filings for any NBR-held or under-acquisition B-Khata parcels — this should be treated as a near-term legal-team deadline, not a background item.</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Separately, and unaffected by the leadership question, a Dec-2025 "Three-Account System" mandate requires developers to maintain three segregated project bank accounts with automated fund transfers and controlled withdrawals; Tamil Nadu's Registration Department is also rolling out "STAR 3.0" (Simplified and Transparent Administration of Registration), modernising registration services with more online options — layering onto the Jan 2026 guideline-value revision and 11% all-in stamp duty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Three-Account System is a compliance mechanic (not a governance question) that would apply to NBR immediately upon any Chennai project — factor its automated-transfer/controlled-withdrawal structure into cash-flow planning for any future TN entry, independent of the ongoing interim-panel situation. STAR 3.0's online-registration push is a minor efficiency positive worth noting but not yet actionable.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Telangana HC has escalated well beyond the commissioner-removal dispute: Justice B. Vijaysen Reddy has restrained HYDRAA from carrying out ANY demolitions in Hyderabad's city and municipal areas — except encroachments on river bodies, nalas and public roads — until it places a documented SOP before the court, citing repeated violations of earlier orders and no recorded procedure across hundreds of related cases. This layers onto the removal-order appeal, the Malkajgiri contempt proceeding, five IAS/IPS contempt notices, and the district-level push for statewide HYDRAA expansion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the broadest operational curb on HYDRAA flagged in this digest to date — a blanket demolition restraint (not just a case-specific stay) pending a formal SOP. NBR should treat any active or threatened HYDRAA enforcement action on a Hyderabad parcel as likely paused for now, but the underlying encroachment risk itself is unchanged and will resume once an SOP is filed.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Pradesh's State Investment Promotion Board (chaired by CM Chandrababu Naidu) approved ₹2,08,406 Cr in investment proposals across 25 projects (11 Aug), expected to generate 21,627 direct jobs — a significant macro-economic signal alongside the Amaravati Seed Access Road (E3) launch, August 2028 Phase 1 completion target, and the 20,494-acre acquisition breakdown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₹2+ lakh Cr investment approval is a strong confidence signal for Andhra Pradesh's broader economic trajectory, not specific to Amaravati's capital build-out — useful macro context if AP market entry is ever revisited, but track which of the 25 projects (if any) are capital-region-linked before treating this as an Amaravati-specific catalyst.</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is now drawing early political controversy: critics allege draft amendments to land-encroachment rules could effectively benefit illegal occupiers of government/assigned land and resort/commercial operators, rather than primarily protecting farmers as the initiative claims — a tension the 6-month expert committee will need to resolve before recommendations are finalised.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controversy is a reminder that Land Reforms 2.0's final shape is genuinely contested, not a settled pro-farmer reform — NBR's legal team should track which direction the expert committee leans before assuming any assignment-land conversion benefit, since a resort/encroachment-favouring outcome could just as easily tighten scrutiny on legitimate land transactions as a political counter-reaction.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Dec-2025 Three-Account System (segregated project bank accounts, automated transfers, controlled withdrawals) applies independent of the ongoing interim-panel situation — factor its cash-flow mechanics into any future Chennai project planning now, not just the governance-continuity risk.</w:t>
      </w:r>
    </w:p>
    <w:p>
      <w:pPr>
        <w:pStyle w:val="ListParagraph"/>
        <w:numPr>
          <w:ilvl w:val="0"/>
          <w:numId w:val="2"/>
        </w:numPr>
        <w:spacing w:after="90"/>
      </w:pPr>
      <w:r>
        <w:rPr>
          <w:rFonts w:ascii="Calibri" w:cs="Calibri" w:eastAsia="Calibri" w:hAnsi="Calibri"/>
          <w:color w:val="1A1A1A"/>
          <w:sz w:val="19"/>
          <w:szCs w:val="19"/>
        </w:rPr>
        <w:t xml:space="preserve">TNRERA is still operating under a 6-month interim panel (from 14 Jul 2026, following ex-chairperson Shiv Das Meena's resignation) — treat any TNRERA approval or registration sought during this window as subject to extra follow-up once permanent leadership is restored, if NBR ever pursues a Chennai entry or JV.</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Monday, 17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2026-08-17T03:36:24.582Z</dcterms:created>
  <dcterms:modified xsi:type="dcterms:W3CDTF">2026-08-17T03:36:24.594Z</dcterms:modified>
</cp:coreProperties>
</file>

<file path=docProps/custom.xml><?xml version="1.0" encoding="utf-8"?>
<Properties xmlns="http://schemas.openxmlformats.org/officeDocument/2006/custom-properties" xmlns:vt="http://schemas.openxmlformats.org/officeDocument/2006/docPropsVTypes"/>
</file>