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Saturday, 29 August 2026   •   Vol. I — Edition 034</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The Karnataka government has begun formal valuation of 24 "enemy properties" statewide (held by the Custodian of Enemy Property for India under the Enemy Property Act, 1968), including 6 in prime central Bengaluru — Raj Bhavan Road, Vittal Mallya Road, Victoria Road, Kalasipalya and Grant Road, ~1.5 lakh sq ft, collectively worth ~₹500 Cr. A potential future central-Bengaluru disposal/auction pipeline worth tracking, though no sale timeline has been announced.</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A quiet stretch otherwise: no new Grade A/mid-tier Bengaluru land deal since Puravankara's Electronic City JDA and Brigade's Whitefield buy, no fresh Karnataka HC land ruling since the Lalitha S. GST-compensation decision, no public BDA response to the BBC Governor petition, no K-RERA leadership change, and no developments in TNRERA, HYDRAA, Amaravati or Kerala beyond what is already on file. No new NBR-specific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Two separate tracks are now clearly diverging: administrative handover (GBA formally replacing BBMP from 2 September 2026, Maheshwar Rao as incoming commissioner) remains on schedule, but civic ELECTIONS have been pushed back a third time — the Supreme Court extended the poll deadline from 31 August to 31 December 2026, citing the ongoing Special Intensive Revision (SIR) of electoral rolls (concluding only by November), with a stern warning against further delay. Karnataka BJP has filed a separate SC plea alleging the state government deliberately delayed polls fearing electoral loss.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NBR should treat the 2 September administrative handover as the operative near-term date for khata/tax/approval filings, but now expect elected local governance (and any associated policy shifts) to remain unsettled until at least December 2026 — a materially longer governance-uncertainty window than previously assumed. The BJP's political challenge adds a layer of uncertainty to whether even the December deadline holds.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Site Price Hike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raised the price of sites in the 3,069-acre Dr K Shivaram Karanth Layout (North Bengaluru, ~34,000 sites eventually planned) to ₹6,000/sq ft — a ~22% hike from the ₹4,900/sq ft rate fixed in late 2023, making a standard 30x40 site cost ~₹72 lakh. Allotment will proceed in two phases (first phase ~3,000 sites) owing to ongoing legal proceedings.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~22% BDA site-price hike in a major North Bengaluru layout is a useful fresh benchmark for guidance-value trajectory in that corridor — factor it into comparative land-cost assumptions for any NBR parcel evaluation near Karanth Layout, and note that a large public-land supply (34,000 sites eventually) is still working through legal proceedings before full release.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signed a fresh JDA for a 7.83-acre parcel in South-East Bengaluru near the Electronic City corridor (Hosa Road/Hosur Road, served by Namma Metro's Yellow Line) — ₹1,100 Cr GDV, ~0.89 msf saleable residential — its 5th land transaction of FY27, taking cumulative FY27 business development to ~49.76 acres / ~₹6,300 Cr GDV / ~5.12 msf. Q1 FY27 results had already confirmed continued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7.83-acre / ₹1,100 Cr South-East Bengaluru JDA (5th FY27 deal; cumulative ~49.76 acres/~₹6,300 Cr GDV); ₹1,439 Cr Q1 FY27 pre-sales (+28% YoY); 25.61 msf Bengaluru land bank</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5 land deals in FY27 alone reinforces it as the benchmark for land-acquisition cadence; the Electronic City-corridor location is a further data point on where Grade A capital is actively flowing in South-East Bengaluru.</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7-storey building collapse in Anjaiah Nagar, Gachibowli killed 2 workers, prompting Commissioner Ranganath to order identification and demolition of unsafe buildings citywide — notable because this building-safety drive is proceeding even while the Telangana HC's broader SOP-conditioned restraint on HYDRAA's encroachment-linked demolitions remains in force, suggesting the two enforcement tracks (structural safety vs. encroachment) are being treated as legally distinct. This layers onto the ₹72 Cr HYDRAA funding tranche, Ranganath's public land-mafia allegations (Lothukunta case), the G.O.Ms.No.218 HMDA TDR geographic-flexibility amendment, TG RERA's realtor penalties, the removal-order appeal,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building-safety drive proceeding in parallel with the demolition restraint is a useful clarification: HYDRAA's enforcement posture is not uniformly paused — a structural-safety hazard can still trigger immediate demolition action distinct from the encroachment-enforcement track courts have restrained. NBR should not assume any HYDRAA-adjacent Hyderabad asset is fully insulated from action merely because the encroachment-demolition SOP is still pending.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green-lit a fresh 2,344.12-acre land-pooling round for Amaravati's Inner Ring Road and Erraballen-Namburu Railway Line (20 Aug), with 689.61 acres of government land collected in Tadikonda Mandal's Motadaka area; Pedamaddur's Phase II pooling has separately reached 70.66% (719.35 of 1,018 acres). The Supreme Court (14 Aug 2026) declined to interfere with the AP High Court's quashing of a 2021 criminal case against Chief Minister Chandrababu Naidu and former minister Ponguru Narayana over alleged Amaravati land-pooling irregularities — removing a lingering legal cloud over the scheme's leadership. This adds to the State Investment Promotion Board's ₹2,08,406 Cr investment approval (25 projects, 11 Aug)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Continued incremental land-pooling progress (Pedamaddur at 70.66%, a fresh 2,344-acre round approved) plus the Supreme Court clearing the CM's legal exposure over the scheme confirms Amaravati's capital build-out remains an active, legally de-risked, multi-front effort rather than stalled — still not an actionable NBR opportunity given no Karnataka/Bengaluru nexus, but worth tracking as a barometer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Saturday, 29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2026-08-29T03:36:03.477Z</dcterms:created>
  <dcterms:modified xsi:type="dcterms:W3CDTF">2026-08-29T03:36:03.495Z</dcterms:modified>
</cp:coreProperties>
</file>

<file path=docProps/custom.xml><?xml version="1.0" encoding="utf-8"?>
<Properties xmlns="http://schemas.openxmlformats.org/officeDocument/2006/custom-properties" xmlns:vt="http://schemas.openxmlformats.org/officeDocument/2006/docPropsVTypes"/>
</file>