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21 August 2026   •   Vol. I — Edition 029</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Karnataka HC (11 Aug 2026, Justice Suraj Govindraj) has ruled that LANDOWNERS under a Joint Development Agreement are CO-PROMOTERS under RERA — upholding a RERA recovery-certificate auction notice against a landowner (M. Govind Reddy) even though the developer partner (Venkat Estates) was separately undergoing insolvency (CIRP). This is a directly material ruling for any JDA-structured land acquisition, including NBR's own.</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K-REAT has separately held (7 Aug 2026) that authenticated email consent from at least two-thirds of allottees satisfies the written-consent requirement under Section 14(2)(ii) RERA for project modifications — a procedural clarification relevant to any NBR project change requiring allottee sign-off.</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B-Khata→A-Khata 2% conversion window closes in 2 days (23 Aug), reverting to 5% from 24 Aug. No public BDA response yet to the BBC Governor petition; otherwise a quiet run since the last edition — no new NBR-specific news or fresh Grade A/mid-tier Bengaluru land deal.</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now closes in just 2 days, with no extension signalled. Only a fraction of the roughly 7 lakh eligible B-register properties across Bengaluru have been converted so far. From 24 Aug the fee reverts to the standard 5%.</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a final-hours legal-team priority — any pending NBR B-Khata conversion filing must be submitted before 23 Aug close of window; missing it means paying the full 5% rate (a multi-lakh cost difference on a typical site) with no indication of when or whether a similar reduced-rate window will recur.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K-REAT — Email Consent Valid for Project Modification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that authenticated email communications from allottees can constitute valid written consent for project changes, satisfying the two-thirds-allottee-consent requirement under Section 14(2)(ii) of RERA.</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Art of Living SIT stay confirms Karnataka courts require a mandatory joint survey before any government/gomala-land encroachment finding can stand — ensure any NBR diligence on government-land-adjacent parcels documents proper joint-survey compliance, since its absence is itself grounds to unwind an adverse finding.</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closing in just 5 days (23 Aug) and only ~60,000 of ~7 lakh eligible properties converted so far, treat any pending NBR B-Khata filing as an urgent this-week action — missing the window means paying the full 5% rate with no confirmed date for a similar reduced-rate window to recur.</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striking contrast has emerged alongside the HC's demolition restraint already on file: the state government has released the first ₹72 Cr tranche of a ₹200 Cr budget allocation for HYDRAA (office, vehicles, past-demolition costs) even as the agency remains barred from further demolitions pending a formal SOP. Commissioner Ranganath has separately gone public, alleging land mafias misled the courts and citing the Lothukunta case (Shantha Sriram; ~₹10,000 Cr government land; unauthorised heritage-rock blasting) as the kind of encroachment HYDRAA has been countering. This layers onto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government funding HYDRAA's operations while the court restrains its core enforcement activity signals continued political commitment to the agency's mission, not a retreat — NBR should expect HYDRAA's enforcement posture to resume at full strength once an SOP is filed, rather than reading the current pause as a lasting policy shift. Ranganath's public defence (specific, large-value encroachment examples) also suggests the agency intends to keep pressing its case in the court of public opinion, not just in court.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 — concrete on-the-ground progress alongside the State Investment Promotion Board's ₹2,08,406 Cr investment approval (25 projects, 11 Aug)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Continued incremental land-pooling progress (Pedamaddur at 70.66%, a fresh 2,344-acre round approved) confirms Amaravati's capital build-out remains an active, multi-front effort rather than stalled — still not an actionable NBR opportunity given no Karnataka/Bengaluru nexus, but the steady cadence of pooling announcements is worth tracking as a barometer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21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2026-08-21T03:37:21.669Z</dcterms:created>
  <dcterms:modified xsi:type="dcterms:W3CDTF">2026-08-21T03:37:21.689Z</dcterms:modified>
</cp:coreProperties>
</file>

<file path=docProps/custom.xml><?xml version="1.0" encoding="utf-8"?>
<Properties xmlns="http://schemas.openxmlformats.org/officeDocument/2006/custom-properties" xmlns:vt="http://schemas.openxmlformats.org/officeDocument/2006/docPropsVTypes"/>
</file>