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Tuesday, 18 August 2026   •   Vol. I — Edition 028</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The B-Khata→A-Khata 2% conversion window closes in just 5 days (23 Aug) — only ~60,000 of the roughly 7 lakh eligible B-register properties across Bengaluru have been converted so far, and no extension has been signalled. From 24 Aug the fee reverts to 5% of guidance value, a multi-lakh cost difference on a typical site.</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Telangana has released the first ₹72 Cr tranche of a ₹200 Cr HYDRAA budget allocation (₹50 Cr Budget Estimate + ₹22 Cr from MA&amp;UD) for office, vehicles and past-demolition costs — even as the agency remains under the Telangana HC's demolition restraint pending a formal SOP. Commissioner Ranganath has separately defended himself publicly, alleging land mafias misled courts, citing the Lothukunta case (Shantha Sriram; ~₹10,000 Cr government land; heritage-rock blasting) as an example of the encroachment HYDRAA has been fighting.</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No public BDA response yet to the BBC Governor petition or the Madavara High Court petition; Phase 1 land acquisition remains at ~83% complete. A quiet day otherwise: no new NBR-specific news, fresh Grade A/mid-tier Bengaluru land deal, or new Karnataka HC ruling since yesterday.</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separate tracks are now clearly diverging: administrative handover (GBA formally replacing BBMP from 2 September 2026, Maheshwar Rao as incoming commissioner) remains on schedule, but civic ELECTIONS have been pushed back a third time — the Supreme Court extended the poll deadline from 31 August to 31 December 2026, citing the ongoing Special Intensive Revision (SIR) of electoral rolls (concluding only by November), with a stern warning against further delay. Karnataka BJP has filed a separate SC plea alleging the state government deliberately delayed polls fearing electoral loss.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NBR should treat the 2 September administrative handover as the operative near-term date for khata/tax/approval filings, but now expect elected local governance (and any associated policy shifts) to remain unsettled until at least December 2026 — a materially longer governance-uncertainty window than previously assumed. The BJP's political challenge adds a layer of uncertainty to whether even the December deadline holds.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now closes in just 5 days, with no extension signalled. Only ~60,000 of the roughly 7 lakh eligible B-register properties across Bengaluru have been converted so far — a small fraction of the pool this window was designed to clear. From 24 Aug the fee reverts to the standard 5%.</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now an urgent, not near-term, legal-team deadline — fast-track any pending B-Khata conversion filings for NBR-held or under-acquisition parcels this week; missing the window means paying the full 5% rate (a multi-lakh cost difference on a typical site) with no indication of when or whether a similar reduced-rate window will recur.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 Next hearing today (17 Aug).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when calibrating its own near-term absorption-rate assumptions.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confirm continued acquisition momentum on top of the Hennur Road JDA already on file: pre-sales rose 28% YoY to ₹1,439 Cr, collections +40% YoY to ₹1,199 Cr, average price realisation +18% YoY (₹10,589/sq ft), and 4 fresh land transactions (~41.93 acres, ~4.23 msf, ₹5,200 Cr GDV) were signed during the quarter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₹1,439 Cr Q1 FY27 pre-sales (+28% YoY); 4 new land deals/41.93 acres/₹5,200 Cr GDV in the quarter; 25.61 msf Bengaluru land bank;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now with a strong Q1 FY27 print to match — reinforces it as a benchmark for both land-acquisition cadence and price-realisation growth.</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(Apr-Jun 2026, reported 4 Aug) confirm the Bengaluru momentum already on file was no launch-week blip: national sales bookings hit a record ₹8,651 Cr (+22% YoY, its highest-ever Q1), with Bengaluru alone contributing 44% (~₹3,800 Cr) led by the Godrej Vanantara launch (₹3,237 Cr) — on top of Godrej Woodscapes (Whitefield-Budigere Cross, 2,000+ homes / ₹3,150 Cr+)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₹8,651 Cr Q1 FY27 national bookings (+22% YoY), Bengaluru = 44% share (~₹3,800 Cr); 17 deals / 443.5 acres FY26 Bengaluru-area land run;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44% Bengaluru share of a record national quarter is the strongest evidence yet that Godrej's growth is disproportionately Bengaluru-driven — reinforces it as the benchmark to watch most closely for both pricing and absorption-rate comparisons, though the falling profit margin despite rising bookings is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17-acre parcel on the Whitefield-Kannamangala corridor, East Bengaluru (announced 4 Aug) — ₹3,500 Cr GDV, 2.5+ msf saleable residential — on top of the ~₹5,000 Cr (₹50 billion) 3-year Sumadhura Infracon investment plan,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₹3,500 Cr / 17-acre Whitefield-Kannamangala JDA; ~₹5,000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Art of Living SIT stay confirms Karnataka courts require a mandatory joint survey before any government/gomala-land encroachment finding can stand — ensure any NBR diligence on government-land-adjacent parcels documents proper joint-survey compliance, since its absence is itself grounds to unwind an adverse finding.</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With the B-Khata→A-Khata 2%-conversion window closing in just 5 days (23 Aug) and only ~60,000 of ~7 lakh eligible properties converted so far, treat any pending NBR B-Khata filing as an urgent this-week action — missing the window means paying the full 5% rate with no confirmed date for a similar reduced-rate window to recur.</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Separately, and unaffected by the leadership question, a Dec-2025 "Three-Account System" mandate requires developers to maintain three segregated project bank accounts with automated fund transfers and controlled withdrawals; Tamil Nadu's Registration Department is also rolling out "STAR 3.0" (Simplified and Transparent Administration of Registration), modernising registration services with more online options — layering onto the Jan 2026 guideline-value revision and 11% all-in stamp duty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Three-Account System is a compliance mechanic (not a governance question) that would apply to NBR immediately upon any Chennai project — factor its automated-transfer/controlled-withdrawal structure into cash-flow planning for any future TN entry, independent of the ongoing interim-panel situation. STAR 3.0's online-registration push is a minor efficiency positive worth noting but not yet actionable.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striking contrast has emerged alongside the HC's demolition restraint already on file: the state government has released the first ₹72 Cr tranche of a ₹200 Cr budget allocation for HYDRAA (office, vehicles, past-demolition costs) even as the agency remains barred from further demolitions pending a formal SOP. Commissioner Ranganath has separately gone public, alleging land mafias misled the courts and citing the Lothukunta case (Shantha Sriram; ~₹10,000 Cr government land; unauthorised heritage-rock blasting) as the kind of encroachment HYDRAA has been countering. This layers onto the removal-order appeal,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government funding HYDRAA's operations while the court restrains its core enforcement activity signals continued political commitment to the agency's mission, not a retreat — NBR should expect HYDRAA's enforcement posture to resume at full strength once an SOP is filed, rather than reading the current pause as a lasting policy shift. Ranganath's public defence (specific, large-value encroachment examples) also suggests the agency intends to keep pressing its case in the court of public opinion, not just in court.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Pradesh's State Investment Promotion Board (chaired by CM Chandrababu Naidu) approved ₹2,08,406 Cr in investment proposals across 25 projects (11 Aug), expected to generate 21,627 direct jobs — a significant macro-economic signal alongside the Amaravati Seed Access Road (E3) launch, August 2028 Phase 1 completion target, and the 20,494-acre acquisition breakdown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 lakh Cr investment approval is a strong confidence signal for Andhra Pradesh's broader economic trajectory, not specific to Amaravati's capital build-out — useful macro context if AP market entry is ever revisited, but track which of the 25 projects (if any) are capital-region-linked before treating this as an Amaravati-specific catalyst.</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is now drawing early political controversy: critics allege draft amendments to land-encroachment rules could effectively benefit illegal occupiers of government/assigned land and resort/commercial operators, rather than primarily protecting farmers as the initiative claims — a tension the 6-month expert committee will need to resolve before recommendations are finalised.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controversy is a reminder that Land Reforms 2.0's final shape is genuinely contested, not a settled pro-farmer reform — NBR's legal team should track which direction the expert committee leans before assuming any assignment-land conversion benefit, since a resort/encroachment-favouring outcome could just as easily tighten scrutiny on legitimate land transactions as a political counter-reaction.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Dec-2025 Three-Account System (segregated project bank accounts, automated transfers, controlled withdrawals) applies independent of the ongoing interim-panel situation — factor its cash-flow mechanics into any future Chennai project planning now, not just the governance-continuity risk.</w:t>
      </w:r>
    </w:p>
    <w:p>
      <w:pPr>
        <w:pStyle w:val="ListParagraph"/>
        <w:numPr>
          <w:ilvl w:val="0"/>
          <w:numId w:val="2"/>
        </w:numPr>
        <w:spacing w:after="90"/>
      </w:pPr>
      <w:r>
        <w:rPr>
          <w:rFonts w:ascii="Calibri" w:cs="Calibri" w:eastAsia="Calibri" w:hAnsi="Calibri"/>
          <w:color w:val="1A1A1A"/>
          <w:sz w:val="19"/>
          <w:szCs w:val="19"/>
        </w:rPr>
        <w:t xml:space="preserve">TNRERA is still operating under a 6-month interim panel (from 14 Jul 2026, following ex-chairperson Shiv Das Meena's resignation) — treat any TNRERA approval or registration sought during this window as subject to extra follow-up once permanent leadership is restored, if NBR ever pursues a Chennai entry or JV.</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Tuesday, 18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2026-08-18T03:36:44.406Z</dcterms:created>
  <dcterms:modified xsi:type="dcterms:W3CDTF">2026-08-18T03:36:44.417Z</dcterms:modified>
</cp:coreProperties>
</file>

<file path=docProps/custom.xml><?xml version="1.0" encoding="utf-8"?>
<Properties xmlns="http://schemas.openxmlformats.org/officeDocument/2006/custom-properties" xmlns:vt="http://schemas.openxmlformats.org/officeDocument/2006/docPropsVTypes"/>
</file>