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Monday, 10 August 2026   •   Vol. I — Edition 020</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A3121B"/>
          <w:sz w:val="19"/>
          <w:szCs w:val="19"/>
        </w:rPr>
        <w:t xml:space="preserve">[HIGH]  </w:t>
      </w:r>
      <w:r>
        <w:rPr>
          <w:rFonts w:ascii="Calibri" w:cs="Calibri" w:eastAsia="Calibri" w:hAnsi="Calibri"/>
          <w:color w:val="1A1A1A"/>
          <w:sz w:val="19"/>
          <w:szCs w:val="19"/>
        </w:rPr>
        <w:t xml:space="preserve">BBC land acquisition faces its most direct legal challenge yet: the PRR Farmers and Site Owners Association has petitioned the Governor to scrap the project, arguing the original June 2007 acquisition notification lapsed under the old 1894 Act for want of an award within 5 years — the same dormancy doctrine that has repeatedly favoured landowners in Karnataka HC rulings tracked in this digest (NICE/BMICP, Hosahalli, 2001/2004 BDA annulment). Separately, 250+ farmers/landowners have filed a High Court petition specifically over the 3.8 km Madavara-intersection stretch.</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Karnataka's proposed 10-15% guidance-value hike remains un-gazetted as of today — still pending formal notification nearly four months after the April 2026 announcement; current rates continue to apply.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Tamil Nadu's registration department continues rolling out "STAR 3.0" (Simplified and Transparent Administration of Registration) alongside the Three-Account System and interim-panel governance at TNRERA already on file.</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quiet day otherwise: no new NBR-specific news, fresh Grade A/mid-tier Bengaluru land deal, or new Karnataka HC ruling since yesterday.</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concrete transition date has now emerged: GBA is set to formally replace BBMP from 2 September 2026, with Maheshwar Rao named as the incoming commissioner — the first firm milestone since the Supreme Court's 30 June 2026 completion deadline passed without a confirmed poll date. This sits alongside the revised draft voter list (88.92 lakh voters, 5 corporations, 369 wards, 8,024 polling stations) and the government's dismissal of "delay" claims over the proposed 650+-member nomination process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 September handover date gives NBR a firm near-term marker for when civic-service, property-tax and governance responsibility formally shifts to the five-corporation structure — flag any pending NBR filings (khata, tax, approvals) that should be lodged with BBMP before the cutover rather than risk being caught mid-transition. Elections themselves remain a separate, still-unconfirmed timeline.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corridor's most direct legal challenge to date has now surfaced: the PRR Farmers and Site Owners Association has petitioned Governor Thaawar Chand Gehlot to scrap the project outright, arguing the original June 2007 acquisition notification lapsed under the old 1894 Land Acquisition Act for want of an award within 5 years — and separately noting BDA has not obtained a DPR, Social Impact Assessment, or NGT clearance, and is still using the 1894 Act rather than the 2013 LARR Act used by BMRCL/NHAI. Separately, 250+ farmers/landowners have filed a High Court petition specifically over the 3.8 km Madavara-intersection stretch. This layers onto the 65m/35m land-use revision, 2-month objection window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lapsed-notification argument is the SAME dormancy doctrine that has repeatedly succeeded for landowners in Karnataka HC rulings tracked in this digest (NICE/BMICP, Hosahalli, the 2001/2004 BDA annulment) — this is a materially stronger legal threat to the corridor's validity than the compensation disputes previously on file. Model a genuine scenario where courts could still quash all or part of the 2007 notification, not just a negotiated-compensation outcome; re-check any BBC-adjacent parcel for reliance on this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Secured BBMP/GBA approval to build a 1.5 km private flyover connecting Bellandur and Kariyammana Agrahara, on top of the Bengaluru Airport City integrated destination (₹1,800 Cr, construction from early 2027), Aerospace Park Phase 2 (30+ acres) and Old Madras Road JV parcel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₹20,400 Cr GDV (Q1 FY26, multi-city) + ₹1,800 Cr Airport City destination + self-funded 1.5 km flyover</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developer building its own private flyover to solve connectivity is a notable escalation in how far Grade A players will go to unlock value on a constrained site — worth watching whether regulators extend similar approvals to other developers, which could reshape access economics for NBR's own connectivity-constrained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Outright purchase of a 2-acre parcel on Kanakapura Road, South Bengaluru (~₹400 Cr GDV) — its third distinct Bengaluru land move on file, alongside the Whitefield-Hoskote mixed-use development (₹5,200 Cr GDV) and Malur plotted development, plus the Prestige JV on Old Madras Road and Gunjur JDA.</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~123 acres FY26; Whitefield-Hoskote alone valued at ₹5,200 Cr GDV; new Kanakapura Road parcel ~₹400 Cr GDV</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is now spreading bets across South (Kanakapura Road), East (Whitefield-Hoskote) and outer (Malur) Bengaluru simultaneously — a broader geographic spread than most peers tracked, worth noting when assessing where competitive pressure will land next for NBR.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Confirmed it plans to maintain its ~₹1,150–1,160 Cr FY26 land-spend pace into FY27 as well (~10 million sq ft/year target continuing) — a signal of sustained rather than one-off acquisition intensity —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FY27 continuation (not just FY26) makes Sobha's Bengaluru-concentrated pace a multi-year benchmark, not a single-year spike — useful for NBR's own multi-year land-bank pacing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further JDA — ₹1,300 Cr, 4 acres on Hennur Road, North Bengaluru, 0.84 msf saleable, launch targeted within 12 months — its sixth-plus fresh Bengaluru land move on file, alongside the SICL third-party construction contracts (Sattva AANGANE ₹311.18 Cr, Embassy Eden ₹133.34 Cr), its 25.61 msf Bengaluru land bank, and the KVN Property Holdings JV (24.59 acres)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25.61 msf Bengaluru land bank; ~124 acres across 7 recent land deals; new ₹1,300 Cr / 4-acre Hennur Road JDA; SICL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a new land move roughly every few editions, on top of its construction-services diversification through SICL.</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(Apr-Jun 2026, reported 4 Aug) confirm the Bengaluru momentum already on file was no launch-week blip: national sales bookings hit a record ₹8,651 Cr (+22% YoY, its highest-ever Q1), with Bengaluru alone contributing 44% (~₹3,800 Cr) led by the Godrej Vanantara launch (₹3,237 Cr) — on top of Godrej Woodscapes (Whitefield-Budigere Cross, 2,000+ homes / ₹3,150 Cr+)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₹8,651 Cr Q1 FY27 national bookings (+22% YoY), Bengaluru = 44% share (~₹3,800 Cr); 17 deals / 443.5 acres FY26 Bengaluru-area land run;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44% Bengaluru share of a record national quarter is the strongest evidence yet that Godrej's growth is disproportionately Bengaluru-driven — reinforces it as the benchmark to watch most closely for both pricing and absorption-rate comparisons, though the falling profit margin despite rising bookings is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fresh JDA for a 17-acre parcel on the Whitefield-Kannamangala corridor, East Bengaluru (announced 4 Aug) — ₹3,500 Cr GDV, 2.5+ msf saleable residential — on top of the ~₹5,000 Cr (₹50 billion) 3-year Sumadhura Infracon investment plan, ₹250 Cr twin-tower project,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₹3,500 Cr / 17-acre Whitefield-Kannamangala JDA; ~₹5,000 Cr 3-year investment plan (Sumadhura Infracon);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confirmed 2 September handover date is a firm near-term marker — flag any pending NBR khata, tax or approval filings that should be lodged with BBMP before the cutover rather than risk them being caught mid-transition.</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With the B-Khata→A-Khata 2%-conversion window now just under two weeks from closing (23 Aug), fast-track conversion filings for any NBR-held or under-acquisition B-Khata parcels — this should be treated as a near-term legal-team deadline, not a background item.</w:t>
      </w:r>
    </w:p>
    <w:p>
      <w:pPr>
        <w:pStyle w:val="ListParagraph"/>
        <w:numPr>
          <w:ilvl w:val="0"/>
          <w:numId w:val="2"/>
        </w:numPr>
        <w:spacing w:after="90"/>
      </w:pPr>
      <w:r>
        <w:rPr>
          <w:rFonts w:ascii="Calibri" w:cs="Calibri" w:eastAsia="Calibri" w:hAnsi="Calibri"/>
          <w:color w:val="1A1A1A"/>
          <w:sz w:val="19"/>
          <w:szCs w:val="19"/>
        </w:rPr>
        <w:t xml:space="preserve">Confirm NBR has no outstanding demand traceable to the now-struck-down K-RERA retroactive-delay-fee circular — the ruling invalidated the circular itself, not just one developer's case, so it applies across the board.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Godrej's Q1 FY27 results confirm Bengaluru drove 44% of a record national quarter (~₹3,800 Cr of ₹8,651 Cr) — the clearest quantified evidence yet of how disproportionately Bengaluru weighs in a Grade A peer's national numbers; use this ratio as a fresh benchmark when framing NBR's own market-share ambitions to leadership.</w:t>
      </w:r>
    </w:p>
    <w:p>
      <w:pPr>
        <w:pStyle w:val="ListParagraph"/>
        <w:numPr>
          <w:ilvl w:val="0"/>
          <w:numId w:val="2"/>
        </w:numPr>
        <w:spacing w:after="90"/>
      </w:pPr>
      <w:r>
        <w:rPr>
          <w:rFonts w:ascii="Calibri" w:cs="Calibri" w:eastAsia="Calibri" w:hAnsi="Calibri"/>
          <w:color w:val="1A1A1A"/>
          <w:sz w:val="19"/>
          <w:szCs w:val="19"/>
        </w:rPr>
        <w:t xml:space="preserve">Godrej's 42%-YoY profit decline despite rising bookings and collections is worth tracking as a possible early margin-pressure signal across the Grade A tier — if replicated by peers, it could indicate rising land/construction costs are outpacing price realisation even in a strong-demand market.</w:t>
      </w:r>
    </w:p>
    <w:p>
      <w:pPr>
        <w:pStyle w:val="ListParagraph"/>
        <w:numPr>
          <w:ilvl w:val="0"/>
          <w:numId w:val="2"/>
        </w:numPr>
        <w:spacing w:after="90"/>
      </w:pPr>
      <w:r>
        <w:rPr>
          <w:rFonts w:ascii="Calibri" w:cs="Calibri" w:eastAsia="Calibri" w:hAnsi="Calibri"/>
          <w:color w:val="1A1A1A"/>
          <w:sz w:val="19"/>
          <w:szCs w:val="19"/>
        </w:rPr>
        <w:t xml:space="preserve">Sumadhura's second East Bengaluru land move in two weeks (₹3,500 Cr / 17-acre Whitefield-Kannamangala JDA) confirms it has stepped up from the smaller-launch pattern tracked earlier — reassess whether NBR's mid-tier competitive tiering still reflects Sumadhura's actual scale.</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Separately, and unaffected by the leadership question, a Dec-2025 "Three-Account System" mandate requires developers to maintain three segregated project bank accounts with automated fund transfers and controlled withdrawals; Tamil Nadu's Registration Department is also rolling out "STAR 3.0" (Simplified and Transparent Administration of Registration), modernising registration services with more online options — layering onto the Jan 2026 guideline-value revision and 11% all-in stamp duty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Three-Account System is a compliance mechanic (not a governance question) that would apply to NBR immediately upon any Chennai project — factor its automated-transfer/controlled-withdrawal structure into cash-flow planning for any future TN entry, independent of the ongoing interim-panel situation. STAR 3.0's online-registration push is a minor efficiency positive worth noting but not yet actionable.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Telangana HC has sharply escalated the HYDRAA fight: contempt notices were issued (8 Aug 2026) to five senior IAS/IPS officers — including Special Chief Secretary Jayesh Ranjan, not just Commissioner Ranganath — extending the court's original 63-petition basis for the removal order well beyond a single official. Separately, HYDRAA reclaimed 861 acres of government land (₹15,000 Cr value) in a fresh Sangareddy district operation, and the Section 22A land-freeze designation (already on file) continues stalling property transactions without prior notice.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Contempt notices reaching the Special Chief Secretary signal the courts are treating this as a systemic administrative-compliance failure, not an isolated commissioner issue — this raises rather than lowers the odds of continued aggressive HYDRAA enforcement regardless of who holds the commissioner post; the Sangareddy reclamation shows the agency's operational reach extending beyond central Hyderabad.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set its first firm capital-delivery target — Amaravati's Phase 1 build-out is due for completion by August 2028, per Minister Ponguru Narayana. APCRDA has begun a fresh round of Gram Sabhas across capital-region villages (since 4 Aug) to finalise the Master Plan and village-road network ahead of a government-set land-pooling completion timeline; Tadikonda and Mothadaka farmers have agreed in principle to the Land Pooling Scheme, while Kantheru farmers have sought more time. This layers onto the 20,494-acre acquisition breakdown (16,562+ acres from private patta holders)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August 2028 target gives NBR a concrete multi-year horizon for when Amaravati's core infrastructure should be substantially complete — useful for framing any long-horizon AP market-entry discussion, though land-pooling consent (Kantheru still undecided) remains the near-term watch item, not the completion date itself.</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is now drawing early political controversy: critics allege draft amendments to land-encroachment rules could effectively benefit illegal occupiers of government/assigned land and resort/commercial operators, rather than primarily protecting farmers as the initiative claims — a tension the 6-month expert committee will need to resolve before recommendations are finalised.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controversy is a reminder that Land Reforms 2.0's final shape is genuinely contested, not a settled pro-farmer reform — NBR's legal team should track which direction the expert committee leans before assuming any assignment-land conversion benefit, since a resort/encroachment-favouring outcome could just as easily tighten scrutiny on legitimate land transactions as a political counter-reaction.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Contempt notices reaching Telangana's Special Chief Secretary (not just the HYDRAA commissioner) signal courts now treat this as a systemic compliance failure — expect continued aggressive HYDRAA enforcement regardless of who holds the commissioner post; Section 22A land-freeze designations remain a distinct, separate Hyderabad diligence risk to check on any parcel.</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Dec-2025 Three-Account System (segregated project bank accounts, automated transfers, controlled withdrawals) applies independent of the ongoing interim-panel situation — factor its cash-flow mechanics into any future Chennai project planning now, not just the governance-continuity risk.</w:t>
      </w:r>
    </w:p>
    <w:p>
      <w:pPr>
        <w:pStyle w:val="ListParagraph"/>
        <w:numPr>
          <w:ilvl w:val="0"/>
          <w:numId w:val="2"/>
        </w:numPr>
        <w:spacing w:after="90"/>
      </w:pPr>
      <w:r>
        <w:rPr>
          <w:rFonts w:ascii="Calibri" w:cs="Calibri" w:eastAsia="Calibri" w:hAnsi="Calibri"/>
          <w:color w:val="1A1A1A"/>
          <w:sz w:val="19"/>
          <w:szCs w:val="19"/>
        </w:rPr>
        <w:t xml:space="preserve">TNRERA is still operating under a 6-month interim panel (from 14 Jul 2026, following ex-chairperson Shiv Das Meena's resignation) — treat any TNRERA approval or registration sought during this window as subject to extra follow-up once permanent leadership is restored, if NBR ever pursues a Chennai entry or JV.</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Monday, 10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2026-08-10T03:36:43.792Z</dcterms:created>
  <dcterms:modified xsi:type="dcterms:W3CDTF">2026-08-10T03:36:43.811Z</dcterms:modified>
</cp:coreProperties>
</file>

<file path=docProps/custom.xml><?xml version="1.0" encoding="utf-8"?>
<Properties xmlns="http://schemas.openxmlformats.org/officeDocument/2006/custom-properties" xmlns:vt="http://schemas.openxmlformats.org/officeDocument/2006/docPropsVTypes"/>
</file>