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Tuesday, 8 September 2026   •   Vol. I — Edition 042</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The state issued a final land-acquisition notification (5 Sept 2026) for 1,427.34 acres across 31 villages for a 52-km southern road — Mysuru Road to Hosur Road via Jigani/Bommasandra/Attibele — reported under the SAME name, "Bengaluru Business Corridor," and also as "Peripheral Ring Road-2." This routing is materially different from the 74-km ex-PRR corridor already tracked in this digest (Tumakuru Road–Hosur Road, ~1,810 acres). We are flagging the naming overlap rather than resolving it — legal team should clarify with BDA/BBCL whether this is a genuinely distinct southern corridor or an inconsistently-reported update to the tracked project, since NBR-adjacent-parcel risk assessment depends on which is correct.</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Otherwise a quiet day: no new Grade A/mid-tier Bengaluru land deal, no fresh Karnataka HC land ruling beyond what is already on file, no public BDA response to the original BBC Governor petition, and no developments in TNRERA,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Allotment Begins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begun actual site allotment in the 3,069-acre Dr K Shivaram Karanth Layout (North Bengaluru) TODAY (31 Aug 2026) at the ₹6,000/sq ft rate already on file (~₹72 lakh for a standard 30x40 site) — ~18,000 of the 34,992 total planned sites are reserved for ~3,200 land-giving farmers/landowners in this first tranche, with public applications expected to follow subject to Chief Minister approval.</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shift from a priced-but-unallotted layout to actual site distribution is a material milestone — the ₹6,000/sq ft benchmark for North Bengaluru land cost is now a live, operative transaction price rather than a proposed one; NBR should treat it as a current comparable for any nearby parcel evaluation, and watch for the public-application phase as a further site-supply signal once CM approval comes through.</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Tuesday, 8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2026-09-09T03:36:45.775Z</dcterms:created>
  <dcterms:modified xsi:type="dcterms:W3CDTF">2026-09-09T03:36:45.775Z</dcterms:modified>
</cp:coreProperties>
</file>

<file path=docProps/custom.xml><?xml version="1.0" encoding="utf-8"?>
<Properties xmlns="http://schemas.openxmlformats.org/officeDocument/2006/custom-properties" xmlns:vt="http://schemas.openxmlformats.org/officeDocument/2006/docPropsVTypes"/>
</file>