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Wednesday, 9 September 2026   •   Vol. I — Edition 043</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A quiet news day across every tracked thread: no update on yesterday's flagged "Bengaluru Business Corridor" (South) / Peripheral Ring Road-2 naming-ambiguity question, no new Grade A/mid-tier Bengaluru land deal, no fresh Karnataka HC land ruling beyond what is already on file, no public BDA response to the original BBC Governor petition, no guidance-value or e-Khata policy change, and no developments in TNRERA, HYDRAA, Amaravati or Kerala beyond what is already on file. No new NBR-specific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administrative handover took effect 2 September 2026: GBA formally replaced BBMP, with CM Siddaramaiah as Chairperson, Deputy CM D.K. Shivakumar as Vice-Chairperson, and M. Maheshwar Rao (outgoing BBMP Chief Commissioner) as GBA Chief Commissioner &amp; Member-Secretary, across 5 new city corporations (Central/North/East/West/South). Civic ELECTIONS remain on a separate, later track: the Election Commission's revised SIR schedule is now more precise — draft roll published 24 Aug, claims &amp; objections open 24 Aug–23 Sept 2026, disposal by 22 Oct 2026 — sharper than the earlier "concluding only by November" estimate, and a mild positive signal for the Supreme Court's 31 December 2026 poll deadline holding. Karnataka BJP's separate SC plea (alleging deliberate delay) remains pending.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every time-sensitive NBR khata/tax/approval filing is routed to the correct one of the 5 new corporations by micro-market — the transition-week routing risk is now the operative near-term concern rather than the handover date itself. The tighter SIR disposal date (22 Oct, vs. a vaguer "November" previously) is worth noting as a modest de-risking of the December election deadline, though the BJP's pending SC challenge keeps some uncertainty live.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Site Allotment Begins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begun actual site allotment in the 3,069-acre Dr K Shivaram Karanth Layout (North Bengaluru) TODAY (31 Aug 2026) at the ₹6,000/sq ft rate already on file (~₹72 lakh for a standard 30x40 site) — ~18,000 of the 34,992 total planned sites are reserved for ~3,200 land-giving farmers/landowners in this first tranche, with public applications expected to follow subject to Chief Minister approval.</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shift from a priced-but-unallotted layout to actual site distribution is a material milestone — the ₹6,000/sq ft benchmark for North Bengaluru land cost is now a live, operative transaction price rather than a proposed one; NBR should treat it as a current comparable for any nearby parcel evaluation, and watch for the public-application phase as a further site-supply signal once CM approval comes through.</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(South) / Peripheral Ring Road-2 — Final Notification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state issued a final land-acquisition notification (5 Sept 2026, per Vijay Karnataka) for 1,427.34 acres across 31 villages for a 52-km road connecting Mysuru Road to Hosur Road via Jigani, Bommasandra and Attibele — an 8-lane, 65m-wide carriageway within a 100m corridor. This is reported under the same "Bengaluru Business Corridor" name (and also as "Peripheral Ring Road-2") as the 74-km ex-PRR project already tracked in this digest (Tumakuru Road–Hosur Road, ~1,810 acres, ~948 acres notified 2008) — the routing described (a southern loop via Jigani/Bommasandra/Attibele) does not match the tracked project's alignment, suggesting these may be two distinct corridors sharing a name in press coverage, or inconsistent reporting of one project. Not yet resolved.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Treat this as an open research item rather than settled fact — if it is genuinely a second, distinct southern corridor, it represents a fresh land-acquisition/compensation-opportunity zone (Jigani/Bommasandra/Attibele) outside NBR's core corridors that was not previously on this digest's radar; if it is the same tracked project under confused reporting, no new action is needed. Confirm with BDA/BBCL sources before treating either the acreage or routing as authoritative.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Hebbal KIADB Land Fraud — CBI Probe Ordered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(April 2026) ordered a CBI probe into KIADB's 2004 acquisition of 53+ acres in Hebbal and Hebbal Ammanikere villages, calling it a "monumental fraud committed by state authorities in collusion, collaboration and criminal conspiracy" with Lakeview Tourism Corporation, a non-existent entity. The Court annulled the land transfer and fined the firm ₹10 lakh (payable to the Army Battle Casualties Welfare Fund); the land, originally for an unbuilt tourism project, has sat unused for two decades, with BMRCL now seeking 45 acres of it for a metro transit hub/depot.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Another entry in a now-extensive pattern of Karnataka courts unwinding decades-old KIADB/BDA land dealings for fraud or dormancy (alongside NICE/BMICP, Hosahalli, D.B. Chandregowda, the 2001/2004 BDA annulment) — any NBR parcel with a chain-of-title link to a 2000s-era KIADB/BDA transfer to a private entity warrants a fraud/collusion check, not just a paperwork review, given how many such transfers have since been judicially unwound.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Amit Garg v. Karnataka RERA — Registry Cannot Decide Complaint Maintainability</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 Nagaprasanna) held that the K-RERA Registry has no statutory power to adjudicate whether a homebuyer complaint is maintainable — only Tribunal/Authority members can decide that question, since the Registry's role is purely administrative. The Court quashed an email order by which the Registry had rejected a Bengaluru apartment owner's complaint, calling it "illegal," and restored the complaint for proper adjudication.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safeguard: any K-RERA complaint against NBR (or filed on NBR's behalf) that was ever summarily rejected by Registry email, rather than decided by the Authority/Tribunal itself, may be vulnerable to being reopened on this ground — legal team should check whether this cuts for or against NBR in any live or past K-RERA matter before relying on a Registry-level rejection as final.</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signed a fresh JDA for a 7.83-acre parcel in South-East Bengaluru near the Electronic City corridor (Hosa Road/Hosur Road, served by Namma Metro's Yellow Line) — ₹1,100 Cr GDV, ~0.89 msf saleable residential — its 5th land transaction of FY27, taking cumulative FY27 business development to ~49.76 acres / ~₹6,300 Cr GDV / ~5.12 msf. Q1 FY27 results had already confirmed continued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7.83-acre / ₹1,100 Cr South-East Bengaluru JDA (5th FY27 deal; cumulative ~49.76 acres/~₹6,300 Cr GDV); ₹1,439 Cr Q1 FY27 pre-sales (+28% YoY); 25.61 msf Bengaluru land bank</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5 land deals in FY27 alone reinforces it as the benchmark for land-acquisition cadence; the Electronic City-corridor location is a further data point on where Grade A capital is actively flowing in South-East Bengaluru.</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₹600 Cr Yelahanka row-housing JDA (7 acres) already on file. Also holds a ~4-acre outright land purchase on Sarjapur Main Road, South-East Bengaluru (~₹550-600 Cr GDV, ~0.5 msf saleable, announced 16 Feb 2026) — near Whitefield/Varthur/ORR and the upcoming Dommasandra Metro station — not previously captured in this tracker.</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 ~4-acre / ₹550-600 Cr Sarjapur Main Road purchase</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Sarjapur Main Road purchase places Shriram directly inside NBR's core corridor alongside Puravankara, Godrej, Assetz, Adarsh and Casagrand — even though the deal itself is several months old, its presence in NBR's home turf is a standing competitive fact worth having on file going forward.</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Confirm whether the newly-notified 1,427.34-acre "Bengaluru Business Corridor" (Mysuru Road–Hosur Road via Jigani/Bommasandra/Attibele, 5 Sept 2026) is a genuinely distinct southern corridor from the tracked 74-km ex-PRR project or a reporting overlap — this determines whether it opens a new land-acquisition/compensation-opportunity zone worth evaluating.</w:t>
      </w:r>
    </w:p>
    <w:p>
      <w:pPr>
        <w:pStyle w:val="ListParagraph"/>
        <w:numPr>
          <w:ilvl w:val="0"/>
          <w:numId w:val="2"/>
        </w:numPr>
        <w:spacing w:after="90"/>
      </w:pPr>
      <w:r>
        <w:rPr>
          <w:rFonts w:ascii="Calibri" w:cs="Calibri" w:eastAsia="Calibri" w:hAnsi="Calibri"/>
          <w:color w:val="1A1A1A"/>
          <w:sz w:val="19"/>
          <w:szCs w:val="19"/>
        </w:rPr>
        <w:t xml:space="preserve">With the GBA handover now in effect, confirm today that every time-sensitive NBR khata/tax/approval filing is routed to the correct one of the 5 new corporations (Central/North/East/West/South) by micro-market — misrouting during this transition week is the most immediate operational risk.</w:t>
      </w:r>
    </w:p>
    <w:p>
      <w:pPr>
        <w:pStyle w:val="ListParagraph"/>
        <w:numPr>
          <w:ilvl w:val="0"/>
          <w:numId w:val="2"/>
        </w:numPr>
        <w:spacing w:after="90"/>
      </w:pPr>
      <w:r>
        <w:rPr>
          <w:rFonts w:ascii="Calibri" w:cs="Calibri" w:eastAsia="Calibri" w:hAnsi="Calibri"/>
          <w:color w:val="1A1A1A"/>
          <w:sz w:val="19"/>
          <w:szCs w:val="19"/>
        </w:rPr>
        <w:t xml:space="preserve">Karanth Layout's shift from priced-but-unallotted to actual site distribution (31 Aug) makes ₹6,000/sq ft a live North Bengaluru comparable rather than a proposed rate — use it as a current benchmark for any nearby NBR parcel evaluation, and watch for the public-application phase (pending CM approval) as the next site-supply signal.</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Amit Garg ruling confirms the K-RERA Registry cannot summarily reject a complaint by email — only the Authority/Tribunal can decide maintainability; check whether any NBR-related K-RERA matter (as respondent or complainant) was ever closed at Registry level rather than by the Authority, since it may now be reopenable.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The Hebbal KIADB fraud ruling (CBI probe, transfer annulled) extends this same judicial-scrutiny pattern to outright fraud/collusion, not just dormancy — any NBR chain-of-title link to a 2000s-era KIADB/BDA transfer to a private entity should be checked for similar red flags, not assumed clean on paperwork alone.</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Bengaluru's unsold housing inventory (~84,000 units, 32-month overhang per JLL's Q2 2026 data) now exceeds Mumbai's for the first time — a citywide oversupply signal that sits in tension with the continued brisk land-acquisition pace among Grade A peers; NBR should treat aggressive land-banking by competitors as a signal of competitive positioning, not necessarily of matching end-market absorption strength, when calibrating its own launch timing.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HC (1 Sept 2026) put HYDRAA Commissioner Ranganath's removal ON HOLD, staying a single judge's order (issued in a Shantha Sriram Constructions contempt petition tied to the Lothukunta demolition dispute) that would have required the state government to remove him from post — the underlying contempt matter itself remains unresolved. This layers onto the Gachibowli building-collapse safety-demolition drive, the ₹72 Cr HYDRAA funding tranche, the G.O.Ms.No.218 HMDA TDR geographic-flexibility amendment, TG RERA's realtor penalties,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removal-order stay is a favourable near-term signal for HYDRAA's institutional continuity under Ranganath, but the underlying Lothukunta-linked contempt proceeding is still live — NBR should treat HYDRAA's enforcement leadership as stable for now but not treat this as a final resolution of the legal exposure around it.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ordered a substantial fresh second-phase land-pooling round for Amaravati — 20,494 acres (16,562.56 acres patta land, 104.01 acres assigned land, 3,828.30 acres government land) across 7 villages (Vaikuntapuram, Pedamadduru, Endrai, Karlapudi, Vaddamanu, Harischandrapuram, Pedaparimi) — for an expanded International Sports City (now 2,500 acres, up from an initial 70), a greenfield international airport, a new railway station and the Inner Ring Road. This is a much larger escalation than the 2,344.12-acre Inner Ring Road/Erraballen-Namburu round already on file, and adds to the Supreme Court's 14 Aug decision declining to interfere with the quashing of the criminal case against CM Naidu, the SIPB's ₹2,08,406 Cr investment approval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20,494-acre second-phase order is Amaravati's largest single land-pooling move flagged in this digest to date — confirms the capital build-out is scaling up materially, not just proceeding incrementally. Still not an actionable NBR opportunity given no Karnataka/Bengaluru nexus, but the growing scale (approaching the ~34,000 acres pooled in the original 2014-19 phase) is a stronger signal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Amaravati's fresh 20,494-acre second-phase land-pooling order is the largest single scale-up flagged in this digest to date, approaching the original 2014-19 pooling phase's ~34,000-acre scope — a stronger signal of AP's genuine execution capacity worth revisiting if a South India footprint beyond Karnataka is ever considered, though still not actionable for NBR today.</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ConstroFacilitator / Asianet Newsable — BDA Dr K Shivaram Karanth Layout site-allotment-start (31 Aug 2026) coverage</w:t>
      </w:r>
    </w:p>
    <w:p>
      <w:pPr>
        <w:pStyle w:val="ListParagraph"/>
        <w:numPr>
          <w:ilvl w:val="0"/>
          <w:numId w:val="2"/>
        </w:numPr>
        <w:spacing w:after="90"/>
      </w:pPr>
      <w:r>
        <w:rPr>
          <w:rFonts w:ascii="Calibri" w:cs="Calibri" w:eastAsia="Calibri" w:hAnsi="Calibri"/>
          <w:color w:val="444444"/>
          <w:sz w:val="17"/>
          <w:szCs w:val="17"/>
        </w:rPr>
        <w:t xml:space="preserve">Deccan Herald / OneIndia — Andhra Pradesh Amaravati 20,494-acre second-phase land-pooling order coverage</w:t>
      </w:r>
    </w:p>
    <w:p>
      <w:pPr>
        <w:pStyle w:val="ListParagraph"/>
        <w:numPr>
          <w:ilvl w:val="0"/>
          <w:numId w:val="2"/>
        </w:numPr>
        <w:spacing w:after="90"/>
      </w:pPr>
      <w:r>
        <w:rPr>
          <w:rFonts w:ascii="Calibri" w:cs="Calibri" w:eastAsia="Calibri" w:hAnsi="Calibri"/>
          <w:color w:val="444444"/>
          <w:sz w:val="17"/>
          <w:szCs w:val="17"/>
        </w:rPr>
        <w:t xml:space="preserve">The News Minute / BookNewProperty — GBA-replaces-BBMP (2 Sept 2026) handover-day leadership and 5-corporation-structure coverage</w:t>
      </w:r>
    </w:p>
    <w:p>
      <w:pPr>
        <w:pStyle w:val="ListParagraph"/>
        <w:numPr>
          <w:ilvl w:val="0"/>
          <w:numId w:val="2"/>
        </w:numPr>
        <w:spacing w:after="90"/>
      </w:pPr>
      <w:r>
        <w:rPr>
          <w:rFonts w:ascii="Calibri" w:cs="Calibri" w:eastAsia="Calibri" w:hAnsi="Calibri"/>
          <w:color w:val="444444"/>
          <w:sz w:val="17"/>
          <w:szCs w:val="17"/>
        </w:rPr>
        <w:t xml:space="preserve">LiveLaw.in / Verdictum — Amit Garg v. Karnataka RERA (Registry maintainability-adjudication) ruling coverage</w:t>
      </w:r>
    </w:p>
    <w:p>
      <w:pPr>
        <w:pStyle w:val="ListParagraph"/>
        <w:numPr>
          <w:ilvl w:val="0"/>
          <w:numId w:val="2"/>
        </w:numPr>
        <w:spacing w:after="90"/>
      </w:pPr>
      <w:r>
        <w:rPr>
          <w:rFonts w:ascii="Calibri" w:cs="Calibri" w:eastAsia="Calibri" w:hAnsi="Calibri"/>
          <w:color w:val="444444"/>
          <w:sz w:val="17"/>
          <w:szCs w:val="17"/>
        </w:rPr>
        <w:t xml:space="preserve">Namma Guide / GBA official (X/Twitter) — Karnataka SIR 2026 revised electoral-roll schedule coverage</w:t>
      </w:r>
    </w:p>
    <w:p>
      <w:pPr>
        <w:pStyle w:val="ListParagraph"/>
        <w:numPr>
          <w:ilvl w:val="0"/>
          <w:numId w:val="2"/>
        </w:numPr>
        <w:spacing w:after="90"/>
      </w:pPr>
      <w:r>
        <w:rPr>
          <w:rFonts w:ascii="Calibri" w:cs="Calibri" w:eastAsia="Calibri" w:hAnsi="Calibri"/>
          <w:color w:val="444444"/>
          <w:sz w:val="17"/>
          <w:szCs w:val="17"/>
        </w:rPr>
        <w:t xml:space="preserve">NewsMeter / The Hans India — Telangana HC stay on HYDRAA Commissioner Ranganath removal-order coverage</w:t>
      </w:r>
    </w:p>
    <w:p>
      <w:pPr>
        <w:pStyle w:val="ListParagraph"/>
        <w:numPr>
          <w:ilvl w:val="0"/>
          <w:numId w:val="2"/>
        </w:numPr>
        <w:spacing w:after="90"/>
      </w:pPr>
      <w:r>
        <w:rPr>
          <w:rFonts w:ascii="Calibri" w:cs="Calibri" w:eastAsia="Calibri" w:hAnsi="Calibri"/>
          <w:color w:val="444444"/>
          <w:sz w:val="17"/>
          <w:szCs w:val="17"/>
        </w:rPr>
        <w:t xml:space="preserve">Business Standard / Tribune India / ConstructionWorld — Shriram Properties Sarjapur Main Road 4-acre land-purchase coverage</w:t>
      </w:r>
    </w:p>
    <w:p>
      <w:pPr>
        <w:pStyle w:val="ListParagraph"/>
        <w:numPr>
          <w:ilvl w:val="0"/>
          <w:numId w:val="2"/>
        </w:numPr>
        <w:spacing w:after="90"/>
      </w:pPr>
      <w:r>
        <w:rPr>
          <w:rFonts w:ascii="Calibri" w:cs="Calibri" w:eastAsia="Calibri" w:hAnsi="Calibri"/>
          <w:color w:val="444444"/>
          <w:sz w:val="17"/>
          <w:szCs w:val="17"/>
        </w:rPr>
        <w:t xml:space="preserve">JLL / Business Standard — Bengaluru Q2 2026 unsold-housing-inventory-overtakes-Mumbai coverage</w:t>
      </w:r>
    </w:p>
    <w:p>
      <w:pPr>
        <w:pStyle w:val="ListParagraph"/>
        <w:numPr>
          <w:ilvl w:val="0"/>
          <w:numId w:val="2"/>
        </w:numPr>
        <w:spacing w:after="90"/>
      </w:pPr>
      <w:r>
        <w:rPr>
          <w:rFonts w:ascii="Calibri" w:cs="Calibri" w:eastAsia="Calibri" w:hAnsi="Calibri"/>
          <w:color w:val="444444"/>
          <w:sz w:val="17"/>
          <w:szCs w:val="17"/>
        </w:rPr>
        <w:t xml:space="preserve">Deccan Herald / Organiser / The420.in — Hebbal KIADB land-fraud CBI-probe coverage</w:t>
      </w:r>
    </w:p>
    <w:p>
      <w:pPr>
        <w:pStyle w:val="ListParagraph"/>
        <w:numPr>
          <w:ilvl w:val="0"/>
          <w:numId w:val="2"/>
        </w:numPr>
        <w:spacing w:after="90"/>
      </w:pPr>
      <w:r>
        <w:rPr>
          <w:rFonts w:ascii="Calibri" w:cs="Calibri" w:eastAsia="Calibri" w:hAnsi="Calibri"/>
          <w:color w:val="444444"/>
          <w:sz w:val="17"/>
          <w:szCs w:val="17"/>
        </w:rPr>
        <w:t xml:space="preserve">Vijay Karnataka / UrbanAcres — "Bengaluru Business Corridor" (South) / Peripheral Ring Road-2 final-notification (1,427.34 acres, 5 Sept 2026)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Wednesday, 9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2026-09-09T03:37:03.016Z</dcterms:created>
  <dcterms:modified xsi:type="dcterms:W3CDTF">2026-09-09T03:37:03.016Z</dcterms:modified>
</cp:coreProperties>
</file>

<file path=docProps/custom.xml><?xml version="1.0" encoding="utf-8"?>
<Properties xmlns="http://schemas.openxmlformats.org/officeDocument/2006/custom-properties" xmlns:vt="http://schemas.openxmlformats.org/officeDocument/2006/docPropsVTypes"/>
</file>