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25 July 2026   •   Vol. I — Edition 004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The Bengaluru Business Corridor's original 2008-09 compensation award (₹20–30 lakh/acre) is colliding with today's Varthur–Gunjur land demands of ₹15–40 Cr/acre — BDA is now offering farmers five compensation options (cash, residential plot, commercial plot, TDR, FAR) and aims to secure 80% of the land within 4 months.</w:t>
      </w:r>
    </w:p>
    <w:p>
      <w:pPr>
        <w:spacing w:after="130"/>
      </w:pPr>
      <w:r>
        <w:rPr>
          <w:rFonts w:ascii="Calibri" w:cs="Calibri" w:eastAsia="Calibri" w:hAnsi="Calibri"/>
          <w:b/>
          <w:bCs/>
          <w:color w:val="9C6F00"/>
          <w:sz w:val="19"/>
          <w:szCs w:val="19"/>
        </w:rPr>
        <w:t xml:space="preserve">[HIGH]  </w:t>
      </w:r>
      <w:r>
        <w:rPr>
          <w:rFonts w:ascii="Calibri" w:cs="Calibri" w:eastAsia="Calibri" w:hAnsi="Calibri"/>
          <w:color w:val="1A1A1A"/>
          <w:sz w:val="19"/>
          <w:szCs w:val="19"/>
        </w:rPr>
        <w:t xml:space="preserve">BDA's Premium Sites e-Auction 2026 (its 13th auction this year — 175 sites) still closes for registration 27 Jul 5 PM, live bidding to 31 Jul — the pace of BDA auctions this year (13 rounds) signals sustained public land supply into the market.</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Godrej Properties posted back-to-back launch-week blowouts in Bengaluru — Godrej Vanantara sold ₹2,000 Cr of homes in its launch week, and Godrej Woodscapes (Whitefield-Budigere Cross) has sold over ₹3,150 Cr — a strong demand-side signal for NBR's own upcoming launches in adjacent corridors.</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N. Jayaram, a retired 2004-batch IAS officer and former Secretary to the Chief Minister, has been appointed a K-RERA Member for a 5-year term — a leadership refresh worth noting for any pending or upcoming NBR interactions with the authority.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 has ruled that courts cannot use Section 34 of the Arbitration Act to modify land acquisition awards or fix compensation under the National Highways Act (P. Nagaraju v. Special LAO) — relevant precedent for any NBR parcel affected by NH-linked acquisition or compensation disputes.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(retired 2004-batch IAS officer, former Secretary to CM Siddaramaiah) has been appointed a K-RERA Member for a 5-year term.</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note the K-RERA Member bench refresh for any pending or upcoming NBR matters before the authority.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Adarsh &amp; Casagrand Orders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ordered Adarsh Nivas Pvt. Ltd. to pay ₹79.84 lakh delay-interest to a homebuyer and complete Adarsh Palm Acres Phase-2, Part-B within 60 days; separately, K-RERA ordered Casagrand Garden City to refund ₹52.74 lakh to a Bengaluru homebuyer over unfair GST charges.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of NBR's tracked mid-tier peers were sanctioned in the same week — proactively audit NBR's own possession-date buffers and confirm GST is being passed through to buyers strictly per statute, not on an inflated or non-transparent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was officially dissolved in September 2025; GBA plus five new city corporations are in a "Phased Implementation" stage (2025–2026) — merging the corporations' databases, clearing a ₹437 Cr backlog of unpaid civic dues, and finalising the 2026 Master Plan. Election timing carries some ambiguity in current reporting: the Supreme Court directed completion by 30 June 2026, while other coverage still cites an August 2026 target and the state has said there is "no delay" despite a pending GBA Act amendment.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Verify with counsel that e-Khata records, property-tax PIDs and pending approval applications filed under the old BBMP regime carry over cleanly during the database-merger window — treat the uncertain election timeline as a reason for extra diligence on record continuity, not a formality.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Since July 2025 the BBMP/GBA e-Aasthi portal issues a single e-Khata PDF with QR-code verification (combining Certificate- and Extract-style data); Kaveri 2.0 continues to auto-trigger khata-transfer requests on registration.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status (QR-verifiable) on all NBR land parcels and unsold inventory ahead of buyer registration to avoid transfer delays under the new single-document format.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175 residential/corner/commercial sites; registration/interest closes 5 PM, 27 Jul 2026 (EMD ₹4 lakh/site payable on the government portal before live bidding); live bidding then runs to 5 PM, 31 Jul 2026, with a minimum increment of ₹500/sq. mtr.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Time-critical: legal/land team has roughly one week end-to-end — finalise go/no-go on target sites in NBR's active micro-markets (Sarjapur, Yelahanka, Kanakapura) and arrange EMD funding now to keep the 27 Jul registration deadline in reach.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original 2008-09 award of ₹20–30 lakh/acre (for 948 of the 1,810 phase-1 acres) is now badly out of step with today's Varthur–Gunjur land demands of ₹15–40 Cr/acre. BDA is offering farmers five compensation routes — cash, residential plot, commercial plot, TDR, or FAR — and is targeting 80% land acquisition within 4 months; BDA needs ~2,560 acres in total (~₹20,511 Cr for land); Package 1 (20 km, ₹3,348 Cr) tenders are at final-award stage; completion targeted around 2029.</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 of the valuation gap (roughly 50-100x the original award) explains why compensation negotiations remain the critical path — NBR's land-banking survey along the BBC alignment should model a range of final settlement outcomes rather than a single compensation assumption.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Road Litigation Withdrawn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(Bangalore-Mysore Infrastructure Corridor) withdrew its land acquisition case in Karnataka HC after a Chief-Secretary-led mediation meeting.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Illustrates state preference for negotiated settlement over prolonged litigation on infrastructure-linked land disputes — a useful precedent for NBR's own JDA negotiations with government-linked landholders.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Plans a large integrated destination within Bengaluru Airport City in partnership with Bengaluru Airport City itself — a ₹1,800 Cr investment with construction expected to start early 2027 — alongside its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Prestige's Airport City tie-up is a new large-scale, partnership-anchored format (vs. outright land purchase) — worth tracking as a template for institution-anchored development deals.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Acquired a further 20.19-acre parcel in the Whitefield–Hoskote corridor for ₹588.33 Cr through subsidiary Ananthay Properties, in addition to partnering with Prestige on the 7.5-acre Old Madras Road commercial lease (99-year) and its Gunjur JDA (39-acre township, ₹7,200 Cr GDV).</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~101 acres FY26 (incl. new Whitefield-Hoskote parcel)</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adding scale on its own (Whitefield-Hoskote) even as it co-invests with Prestige elsewhere — a dual-track land strategy worth benchmarking alongside its JV playbook.</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₹1,150–1,160 Cr FY26 land spend continues at ~10 million sq ft/year pace (East Bengaluru's Sobha Altair, Hoskote World City); separately, Godrej Industries Group's family office (Anamudi Real Estates LLP) divested a 4.4% stake in Sobha for ₹858 Cr via open-market transactions.</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stake divestment is a shareholding/ownership event, not an operational change, but it's a reminder that Sobha's cap table includes cross-holdings with Godrej — a dynamic worth monitoring given Godrej Properties' own expansion in Sobha's core Bengaluru turf.</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6.4-acre parcel in Sarjapur, Bengaluru — 0.8 msf saleable area, ~₹1,000 Cr revenue potential — directly inside NBR's own home corridor; also secured (via subsidiary) a ₹133.34 Cr LOI for civil/structural works on Embassy's Eden project. Godrej Fund Management separately bought a Bengaluru parcel from Puravankara.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~95 acres across 5 deals, ~₹10,000 Cr combined GDV, plus a fund-backed divestment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is now developing inside the Sarjapur micro-market NBR itself operates in, not just its periphery — this is the most direct competitive overlap on this list and warrants immediate pricing/positioning review.</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Godrej Vanantara sold ₹2,000 Cr of homes (1,000+ units) in its launch week (~3.53 msf developable, ~₹3,700 Cr revenue potential), and Godrej Woodscapes (Whitefield-Budigere Cross) has sold 2,000+ homes worth over ₹3,150 Cr — on top of its 17-deal/443.5-acre FY26 land run and Sarjapur Road/East Bengaluru parcels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in recent Bengaluru launch-week sales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launch-week sales velocity in Whitefield-Budigere and other East Bengaluru corridors is a strong demand-side benchmark — worth comparing directly against NBR's own absorption rates in similar micro-markets.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fresh July land or legal news; remains active in plotted development and premium apartments per prior reporting.</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Plotted + apartment mix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Plotted development remains Shriram's core strength — relevant benchmark if NBR expands its own plotted-development pipeline.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 directly adjacent to NBR's own Sarjapur-Mullur footprint.</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now with a direct Sarjapur-adjacent entrant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Proposed a new 12-acre residential project on CDP Road, Varthur (11 towers, G+25, 1,248 units planned), even as K-RERA's order to pay ₹79.84 lakh delay-interest and complete Adarsh Palm Acres Phase-2, Part-B within 60 days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 plotted development — expanding into East Bengaluru (Varthur)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Acquired 40 acres, setting up a residential pipeline with revenue potential of up to ₹6,000 Cr; new launch on Soukya Road, East Bengaluru — 3 towers, 523 units (2/3 BHK) from ₹90 lakh — on top of its plotted-development foray (Panathur)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plotted, multi-city (Bengaluru + Hyderabad) — now with a 40-acre pipeline addition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Aditya Birla Real Estate's wholly-owned subsidiary Birla Estates has entered a joint-venture agreement with Mitsubishi Estate Co. (MEC) to develop a residential project in Southeast Bengaluru.</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now with an international JV partner (Mitsubishi Estate)</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Time-critical: arrange EMD funding (₹4L/site) and finalise go/no-go on BDA Premium Sites e-Auction 2026 targets now — registration closes 27 Jul, live bidding runs to 31 Jul.</w:t>
      </w:r>
    </w:p>
    <w:p>
      <w:pPr>
        <w:pStyle w:val="ListParagraph"/>
        <w:numPr>
          <w:ilvl w:val="0"/>
          <w:numId w:val="2"/>
        </w:numPr>
        <w:spacing w:after="90"/>
      </w:pPr>
      <w:r>
        <w:rPr>
          <w:rFonts w:ascii="Calibri" w:cs="Calibri" w:eastAsia="Calibri" w:hAnsi="Calibri"/>
          <w:color w:val="1A1A1A"/>
          <w:sz w:val="19"/>
          <w:szCs w:val="19"/>
        </w:rPr>
        <w:t xml:space="preserve">Model a range of Bengaluru Business Corridor settlement outcomes, not a single figure — the gap between the original 2008-09 award (₹20-30L/acre) and current Varthur-Gunjur asks (₹15-40 Cr/acre) is wide enough that final compensation terms could land almost anywhere within it, materially affecting corridor-adjacent land economics.</w:t>
      </w:r>
    </w:p>
    <w:p>
      <w:pPr>
        <w:pStyle w:val="ListParagraph"/>
        <w:numPr>
          <w:ilvl w:val="0"/>
          <w:numId w:val="2"/>
        </w:numPr>
        <w:spacing w:after="90"/>
      </w:pPr>
      <w:r>
        <w:rPr>
          <w:rFonts w:ascii="Calibri" w:cs="Calibri" w:eastAsia="Calibri" w:hAnsi="Calibri"/>
          <w:color w:val="1A1A1A"/>
          <w:sz w:val="19"/>
          <w:szCs w:val="19"/>
        </w:rPr>
        <w:t xml:space="preserve">Puravankara's Sarjapur JDA and Assetz's Sarjapur-adjacent pre-launch remain an urgent signal to accelerate NBR's own pending Sarjapur-Mullur parcel negotiations rather than defer them.</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Given the ambiguity around the GBA election timeline (Supreme Court's 30 Jun deadline vs. an August target still being cited), treat e-Khata/property-tax record continuity as an open diligence item on every NBR parcel until the database-merger and election process is confirmed complete — do not assume continuity.</w:t>
      </w:r>
    </w:p>
    <w:p>
      <w:pPr>
        <w:pStyle w:val="ListParagraph"/>
        <w:numPr>
          <w:ilvl w:val="0"/>
          <w:numId w:val="2"/>
        </w:numPr>
        <w:spacing w:after="90"/>
      </w:pPr>
      <w:r>
        <w:rPr>
          <w:rFonts w:ascii="Calibri" w:cs="Calibri" w:eastAsia="Calibri" w:hAnsi="Calibri"/>
          <w:color w:val="1A1A1A"/>
          <w:sz w:val="19"/>
          <w:szCs w:val="19"/>
        </w:rPr>
        <w:t xml:space="preserve">Continue treating the Adarsh Developers and Casagrand K-RERA enforcement orders as a live cautionary signal: audit NBR's own possession-date buffers and GST pass-through practices proactively.</w:t>
      </w:r>
    </w:p>
    <w:p>
      <w:pPr>
        <w:pStyle w:val="ListParagraph"/>
        <w:numPr>
          <w:ilvl w:val="0"/>
          <w:numId w:val="2"/>
        </w:numPr>
        <w:spacing w:after="90"/>
      </w:pPr>
      <w:r>
        <w:rPr>
          <w:rFonts w:ascii="Calibri" w:cs="Calibri" w:eastAsia="Calibri" w:hAnsi="Calibri"/>
          <w:color w:val="1A1A1A"/>
          <w:sz w:val="19"/>
          <w:szCs w:val="19"/>
        </w:rPr>
        <w:t xml:space="preserve">Note the new P. Nagaraju precedent (Section 34 Arbitration Act cannot modify NH Act compensation) alongside the Hosahalli-vs-Bidadi contrast — for any NBR parcel touched by highway or public-purpose acquisition, use the correct statutory remedy route from the outset rather than a general arbitration-style challenge.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 developing inside Sarjapur itself remains the most direct competitive overlap identified to date — commission an immediate pricing and positioning comparison against this specific JDA project.</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recent Bengaluru launch-week sales velocity (₹2,000 Cr+ and ₹3,150 Cr+ in two separate launches) — both a demand-side reality check and a pricing reference point for East Bengaluru corridors.</w:t>
      </w:r>
    </w:p>
    <w:p>
      <w:pPr>
        <w:pStyle w:val="ListParagraph"/>
        <w:numPr>
          <w:ilvl w:val="0"/>
          <w:numId w:val="2"/>
        </w:numPr>
        <w:spacing w:after="90"/>
      </w:pPr>
      <w:r>
        <w:rPr>
          <w:rFonts w:ascii="Calibri" w:cs="Calibri" w:eastAsia="Calibri" w:hAnsi="Calibri"/>
          <w:color w:val="1A1A1A"/>
          <w:sz w:val="19"/>
          <w:szCs w:val="19"/>
        </w:rPr>
        <w:t xml:space="preserve">Prestige's Bengaluru Airport City tie-up and Birla Estates' JV with Mitsubishi Estate both show Grade A/emerging players increasingly using institutional or international partnership structures rather than outright land purchase — worth evaluating as an alternative to NBR's own balance-sheet-funded acquisitions.</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Cabinet approved merging 27 municipalities/corporations abutting the Outer Ring Road into the Greater Hyderabad Municipal Corporation — a GHMC footprint expansion echoing Bengaluru's own BBMP→GBA restructuring; this follows the Telangana HC's 20 Jul order restraining HYDRAA from coercive action on 26.03 acres in Bahadurguda pending the bullet-train land dispute, while HYDRAA continues lake-restoration and general reclamation work elsewhere.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 is undergoing a governance boundary change of its own (GHMC expansion) at the same time Bengaluru is mid-transition (GBA) — any NBR diligence on a Hyderabad parcel near the ORR should specifically check which civic body will hold jurisdiction post-merger before relying on current approvals.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Revenue Minister reaffirmed there will be no changes to the Amaravati capital region; a fresh government order targets acquisition of 20,494 acres in total (including 16,562.56 acres of patta/private land) for key infrastructure — an International Sports City, greenfield international airport and related projects —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 of the new patta-land acquisition order (16,562+ acres of private land) is a reminder that Amaravati's build-out will keep generating fresh land-acquisition and compensation activity for years —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Treat Chennai (OMR/ECR/GST Road) and Hyderabad as medium-term watch markets rather than immediate expansion targets — Tamil Nadu's 11% all-in stamp duty and Telangana's HYDRAA enforcement risk both remain materially higher-friction than Karnataka, even after the Telangana HC's partial check on HYDRAA.</w:t>
      </w:r>
    </w:p>
    <w:p>
      <w:pPr>
        <w:pStyle w:val="ListParagraph"/>
        <w:numPr>
          <w:ilvl w:val="0"/>
          <w:numId w:val="2"/>
        </w:numPr>
        <w:spacing w:after="90"/>
      </w:pPr>
      <w:r>
        <w:rPr>
          <w:rFonts w:ascii="Calibri" w:cs="Calibri" w:eastAsia="Calibri" w:hAnsi="Calibri"/>
          <w:color w:val="1A1A1A"/>
          <w:sz w:val="19"/>
          <w:szCs w:val="19"/>
        </w:rPr>
        <w:t xml:space="preserve">Amaravati's now-confirmed permanent-capital status modestly de-risks the long-horizon opportunity there, but the fresh controversy over CRDA land allotments to non-commercial "social amenity" uses is a reminder to structure any future CRDA-linked engagement with clear end-use safeguards from the outset.</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verify government/lake-buffer land status given HYDRAA's active reclamation campaign — do not rely solely on seller title representations, even where HC intervention has occurred on a specific parcel elsewhere.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25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2026-07-25T03:36:36.603Z</dcterms:created>
  <dcterms:modified xsi:type="dcterms:W3CDTF">2026-07-25T03:36:36.624Z</dcterms:modified>
</cp:coreProperties>
</file>

<file path=docProps/custom.xml><?xml version="1.0" encoding="utf-8"?>
<Properties xmlns="http://schemas.openxmlformats.org/officeDocument/2006/custom-properties" xmlns:vt="http://schemas.openxmlformats.org/officeDocument/2006/docPropsVTypes"/>
</file>