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14 August 2026   •   Vol. I — Edition 024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[HIGH]  </w:t>
      </w:r>
      <w:r>
        <w:rPr>
          <w:rFonts w:ascii="Calibri" w:cs="Calibri" w:eastAsia="Calibri" w:hAnsi="Calibri"/>
          <w:color w:val="1A1A1A"/>
          <w:sz w:val="19"/>
          <w:szCs w:val="19"/>
        </w:rPr>
        <w:t xml:space="preserve">Brigade Enterprises' Q1 FY27 results (approved 13 Aug) correct yesterday's expected read: profit grew 33% YoY (₹200.41 Cr) and average realisation rose 21% YoY (₹14,256/sq ft), but residential pre-sales VALUE fell 5.09% YoY (₹1,061 Cr) and pre-sales VOLUME fell 22.1% YoY — mirroring Prestige's decline rather than confirming Godrej/Sobha/Puravankara's growth. This earnings season is now a genuine 3-vs-2 split, not a single-outlier story: three Grade A peers grew pre-sales, two (Prestige, Brigade) saw volume declines even as realisation and profit both rose for them.</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Bengaluru Business Corridor Phase 1 land acquisition has progressed to ~83% complete (523 of 665 acres, per BBCL), up from the ~78% figure previously on file; still no BDA response to the Governor petition or the Madavara High Court petition.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Brigade's balance sheet remains conservative despite the pre-sales dip: net debt ₹2,218 Cr, net debt-to-equity 0.26x, and a 543-acre land bank (₹4,672 Cr, ₹3,734 Cr already paid) — costs fell 17.75% YoY on lower land-purchase and approval charges.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new NBR-specific news, fresh mid-tier Bengaluru land deal, new Karnataka HC ruling, or other Layer 2 regional development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HYDRAA fight now runs on two separate contempt tracks: alongside the Telangana government's decision to formally appeal the commissioner-removal order (Article 311 grounds), the HC has opened a SEPARATE suo motu contempt proceeding (Justice N.V. Shravan Kumar) against Commissioner Ranganath specifically over demolitions at Malkajgiri's Vani Cooperative Housing Society carried out despite a subsisting status quo/stay order. This layers onto the contempt notices already issued to five senior IAS/IPS officers, the Sangareddy 861-acre reclamation, and the Section 22A land-freeze designations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second, independent contempt proceeding — on top of the appeal — shows the courts pursuing HYDRAA's compliance record on multiple fronts simultaneously, not just the single removal order; this makes a quick resolution even less likely. Continue treating Section 22A flag status as an independent Hyderabad diligence item regardless of how any of these proceedings resolve.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officially launches the 21.77 km Amaravati Seed Access Road (E3) today — a 3-phase corridor with BRTS, dedicated cycle tracks, sidewalks, green belts and utility infrastructure, linking key locations across the capital region. This is a concrete infrastructure delivery milestone alongside the August 2028 Phase 1 completion target, the ongoing Gram Sabhas (Tadikonda/Mothadaka farmers agreed in principle; Kantheru still deciding),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completed connectivity corridor (rather than just a target date or a pooling announcement) is the first tangible built-infrastructure evidence that Amaravati's capital build-out is actually progressing on the ground — worth noting as a positive signal if AP market entry is ever revisited, though land-pooling consent remains the more immediate watch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Telangana's decision to formally appeal the HC's HYDRAA-commissioner removal order (on Article 311 separation-of-powers grounds) signals this dispute will run for months — do not assume any near-term change in HYDRAA's enforcement posture or leadership either way; Section 22A land-freeze designations remain a distinct, separate Hyderabad diligence risk to check on any parcel regardless of the appeal's outcome.</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14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2026-08-14T03:37:04.416Z</dcterms:created>
  <dcterms:modified xsi:type="dcterms:W3CDTF">2026-08-14T03:37:04.427Z</dcterms:modified>
</cp:coreProperties>
</file>

<file path=docProps/custom.xml><?xml version="1.0" encoding="utf-8"?>
<Properties xmlns="http://schemas.openxmlformats.org/officeDocument/2006/custom-properties" xmlns:vt="http://schemas.openxmlformats.org/officeDocument/2006/docPropsVTypes"/>
</file>