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Thursday, 10 September 2026   •   Vol. I — Edition 044</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Another quiet news day across every tracked thread: no update on the flagged "Bengaluru Business Corridor" (South) / Peripheral Ring Road-2 naming-ambiguity question, no new Grade A/mid-tier Bengaluru land deal, no fresh Karnataka HC land ruling beyond what is already on file, no public BDA response to the original BBC Governor petition, no guidance-value or e-Khata policy change,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Thursday, 10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2026-09-10T03:34:03.105Z</dcterms:created>
  <dcterms:modified xsi:type="dcterms:W3CDTF">2026-09-10T03:34:03.123Z</dcterms:modified>
</cp:coreProperties>
</file>

<file path=docProps/custom.xml><?xml version="1.0" encoding="utf-8"?>
<Properties xmlns="http://schemas.openxmlformats.org/officeDocument/2006/custom-properties" xmlns:vt="http://schemas.openxmlformats.org/officeDocument/2006/docPropsVTypes"/>
</file>