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Tuesday, 4 August 2026   •   Vol. I — Edition 014</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[WATCH]  </w:t>
      </w:r>
      <w:r>
        <w:rPr>
          <w:rFonts w:ascii="Calibri" w:cs="Calibri" w:eastAsia="Calibri" w:hAnsi="Calibri"/>
          <w:color w:val="1A1A1A"/>
          <w:sz w:val="19"/>
          <w:szCs w:val="19"/>
        </w:rPr>
        <w:t xml:space="preserve">Karnataka HC has cancelled a BDA site allotment over favouritism — a corruption-adjacent finding worth tracking alongside the digest's running theme of courts scrutinising BDA's land dealings (NICE/BMICP quashings, RERA-promoter dispute).</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Karnataka HC separately dismissed a PIL challenging transfer of 7 acres of KVAFSU (veterinary university) land for High Court judges' quarters and a new super-specialty hospital — a public-purpose land allocation upheld, reinforcing the pattern that clean-process acquisitions survive judicial review even amid the BDA favouritism finding above.</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Brigade Group has made a further outright purchase — a 2-acre Kanakapura Road parcel (South Bengaluru, ~₹400 Cr GDV) — its third distinct Bengaluru land move on file, alongside Whitefield-Hoskote and Malur.</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BBC commercial-plot compensation has been set at ~₹8,385/sq ft, adding precision to the ₹2.50–15.60 Cr/acre residential range already on file.</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No new NBR-specific news, K-RERA enforcement orders, or guidance-value gazette notification since yesterday.</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residential projects which applied for an Occupancy Certificate before 1 May 2017 remain exempt from mandatory RERA registration; N. Jayaram has been appointed a K-RERA Member for a 5-year term. The underlying dispute over BDA's RERA status now has two pulling-apart rulings: the Karnataka RERA Appellate Tribunal (KREAT, Mar 2026) classified BDA as a "promoter" under RERA and ordered it to register the Nadaprabhu Kempegowda Layout project, while Karnataka HC (3 Jun 2026) stayed RERA applicability to BDA layouts with pre-2016 land acquisition notifications — interim relief ran only until 6 Jul 2026, a date now passed without a confirmed follow-up order.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Treat BDA's RERA-promoter status as genuinely contested rather than settled either way — the Tribunal and the HC stay point in opposite directions, and NBR should watch for the HC's final ruling before relying on either outcome for any project involving BDA-acquired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Orders, Recovery, Routes &amp; Limits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Adarsh Nivas (₹79.84 lakh) and Casagrand Garden City (₹52.74 lakh) orders, the ₹92 Cr/₹758 Cr recovery gap, and the 8-week recovery-certificate enforcement mandate already on file, Karnataka HC has separately ruled that K-RERA orders CANNOT be executed through civil courts — reinforcing that the revenue-recovery-certificate route is the only proper enforcement channel; the HC has also struck down an entire K-RERA circular that imposed retroactive delay fees for late quarterly/annual filings, for lacking legislative backing (see Judicial Developments for detail).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civil-court ruling closes off an alternative enforcement route homebuyers or K-RERA might otherwise try — confirms that any K-RERA order against NBR (or any peer) will be enforced only via the recovery-certificate/revenue-recovery mechanism, now itself subject to the 8-week mandate. Separately, confirm NBR has no outstanding demand traceable to the now-struck-down retroactive-fee circular.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GBA's revised draft voter list is now out — 88.92 lakh voters identified across 5 corporations, 369 wards, with 8,024 polling stations planned; the state government has dismissed as "baseless" claims that a proposed 650+-member nomination process would delay elections, though the Supreme Court's 30 June 2026 completion deadline has already passed without a confirmed poll date.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voter-roll milestone is concrete progress, but the missed Supreme Court deadline means election timing remains genuinely uncertain — continue treating e-Khata/property-tax record continuity as an open diligence item until elections and the database merger are both confirmed complete.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GBA has committed to auto-approving e-Khata applications left unprocessed beyond 5 working days; a verified e-Khata reference number is now mandatory for any sale-deed registration within GBA limits; e-Aasthi began accepting SAS Property Tax ID-based e-Khata downloads on 25 Apr 2026 (~13 lakh records covered). Processing has largely stabilised, though applicants near inter-corporation boundaries should expect extra time.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reference numbers on all NBR land parcels and unsold inventory now — registration will simply be blocked without one; flag any parcel near a corporation boundary for early application given the noted boundary-area delays.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13th BDA e-auction this year (175 sites), following two prior bulk-land rounds that raised a record ~₹2,097 Cr; Deccan Herald reports the rapid pace of consecutive auctions is now "raising policy concerns" in some quarters, alongside the purely commercial framing (site availability, bidding mechanics) already on file.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 evaluating BDA e-auction sites in NBR's active micro-markets on their commercial merits, but be aware of the emerging critical commentary around the state's land-sale pace — this could eventually translate into policy scrutiny or slower future auction cadence, which would affect NBR's assumptions about ongoing public-land supply.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Commercial-plot compensation has now been set at ~₹8,385/sq ft, adding precision to the ₹2.50–15.60 Cr/acre residential compensation range already on file. This sits alongside the contested picture already on file: real administrative momentum (8-committee/18-location consultation structure, the new Addl. Chief Secretary-chaired deadlock committee) against continued farmer resistance to negotiated settlement. Package 1 (19.80 km, ₹3,348 Cr) drew bids from Shankara Narayana Constructions ("SNC") and Vishwa Samudra Engineering.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commercial-plot rate (~₹8,385/sq ft) gives NBR a concrete benchmark for valuing any TDR/commercial-plot compensation option along the corridor — factor it into land-banking survey economics alongside the residential range already on file.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 BMICP Land Acquisitions — Pattern of Quashings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Beyond the 29 Jul appellate ruling (see Judicial Developments), separate Thalaghattapura-area BMICP acquisitions have also been struck down: a 1-acre parcel notified ~17 years ago was set aside (5 Dec 2025, Justice K.S. Hemalekha) for 17+ years of acquisition dormancy with no award passed, and a 43-acre-25-gunta tract was ordered denotified after the Authority itself had recommended deletion back in 2008 and the State never acted on it.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NICE/BMICP project now has a documented pattern of courts striking down its old, dormant land acquisitions — a much stronger cautionary signal than a single ruling; NBR should treat any parcel with a decades-old, never-executed acquisition notation in its history as high-risk for a similar dormancy-based challenge (in NBR's favour if NBR is the landowner, against NBR if it is relying on such an acquisition).</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KIADB Land Resistance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land-acquisition resistance committee is actively opposing KIADB's move to acquire farmers' land in Channarayapatna hobli, Devanahalli taluk, Bengaluru Rural — a North Bengaluru growth corridor near the airport.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Devanahalli is an active growth corridor for several Grade A/mid-tier peers (Century, Adarsh, Sumadhura all have projects there) — ongoing resistance to KIADB acquisition in the area is a reason for extra title/consent diligence on any NBR-adjacent parcel in that taluk.</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Ltd. v. State of Karnataka (KIADB/BMICP) — Appeal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(29 Jul 2026, headed by Justice D.K. Singh) dismissed NICE's appeal and upheld a single-judge order quashing the KIADB land acquisition notification for the Bangalore-Mysuru Infrastructure Corridor Project; the Bench cited serious allegations of encroachment on lakes and private land during project execution, and noted the operator had collected substantial toll revenue while affected farmers had not received adequate compensation.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major legal victory for landowners against a large, long-running infrastructure-linked acquisition — corrects our earlier note that NICE had merely withdrawn its case (it litigated an appeal and lost). Any NBR land near NICE/BMICP-linked corridors should be checked for a similar unresolved compensation or encroachment history.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 Nagaraju v. Special LAO (NH Act Compensation)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ruled that courts cannot invoke Section 34 of the Arbitration Act to modify a land acquisition award or fix compensation under the National Highways Act — compensation disputes under that Act must follow their own statutory route, not general arbitration-law challenge.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Relevant if any NBR parcel is ever affected by a National Highways Act acquisition (e.g., near a highway-widening project) — confirms the correct legal remedy is the Act's own mechanism, not an arbitration-style challenge, which affects how legal budgets and timelines for such disputes should be planned.</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Retroactive Delay-Fee Circular Struck Down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struck down an entire K-RERA CIRCULAR (not a single case-specific order) that sought to impose retroactive delay fees on developers/promoters for late submission of quarterly updates and annual audit statements, holding the circular lacked legislative backing and such fees cannot be levied by executive directive alone.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This is broader than a single-developer precedent — it invalidates the underlying circular for ALL developers, including NBR; confirm no NBR project has an outstanding demand traceable to this now-struck-down circular.</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RERA &amp; Karnataka Apartment Ownership Act — Not Repugnant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held that RERA, 2016 and the Karnataka Apartment Ownership Act, 1972 are not repugnant to each other — the two statutes govern different stages of a project's life (RERA: pre-completion regulatory compliance; KAOA: post-completion apartment ownership/association/maintenance framework) and both apply.</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NBR must comply with both frameworks at their respective stages — RERA obligations don't lapse once KAOA-governed owners' associations take over, and vice versa; useful clarity for structuring post-handover documentation and association formation on NBR projects.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Site Allotment Cancelled Over Favouritism</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cancelled a BDA site allotment after finding it was made on grounds of favouritism.</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Adds to a pattern of judicial scrutiny of BDA's land dealings (alongside the NICE/BMICP quashings and the contested RERA-promoter status) — reinforces that NBR should independently verify the allotment process behind any BDA-sourced site it evaluates, not just its paperwork.</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KVAFSU Land Transfer PIL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the transfer of 7 acres of Karnataka Veterinary, Animal and Fisheries Sciences University land, earmarked for High Court judges' residential quarters and a new super-specialty hospital, rejecting arguments that the loss would harm the university's accreditation/funding.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the favouritism finding above: clearly-reasoned, public-purpose land allocations continue to survive challenge — reinforces that documented public purpose, not just process speed, is what protects an acquisition or land transfer from being unwound.</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Secured BBMP/GBA approval to build a 1.5 km private flyover connecting Bellandur and Kariyammana Agrahara, on top of the Bengaluru Airport City integrated destination (₹1,800 Cr, construction from early 2027), Aerospace Park Phase 2 (30+ acres) and Old Madras Road JV parcel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₹1,800 Cr Airport City destination + self-funded 1.5 km flyover</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developer building its own private flyover to solve connectivity is a notable escalation in how far Grade A players will go to unlock value on a constrained site — worth watching whether regulators extend similar approvals to other developers, which could reshape access economics for NBR's own connectivity-constrained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Outright purchase of a 2-acre parcel on Kanakapura Road, South Bengaluru (~₹400 Cr GDV) — its third distinct Bengaluru land move on file, alongside the Whitefield-Hoskote mixed-use development (₹5,200 Cr GDV) and Malur plotted development, plus the Prestige JV on Old Madras Road and Gunjur JDA.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~123 acres FY26; Whitefield-Hoskote alone valued at ₹5,200 Cr GDV; new Kanakapura Road parcel ~₹400 Cr GDV</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spreading bets across South (Kanakapura Road), East (Whitefield-Hoskote) and outer (Malur) Bengaluru simultaneously — a broader geographic spread than most peers tracked, worth noting when assessing where competitive pressure will land next for NBR.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Confirmed it plans to maintain its ~₹1,150–1,160 Cr FY26 land-spend pace into FY27 as well (~10 million sq ft/year target continuing) — a signal of sustained rather than one-off acquisition intensity — alongside the East Bengaluru pipeline (Sobha Altair, Hoskote World City) and Godrej Industries Group family office's ₹858 Cr stake divestment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 sustained into FY27 + ₹858 Cr Godrej-family-office stake sale</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FY27 continuation (not just FY26) makes Sobha's Bengaluru-concentrated pace a multi-year benchmark, not a single-year spike — useful for NBR's own multi-year land-bank pacing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Construction arm Starworth Infrastructure &amp; Construction Ltd (SICL) has secured a second major third-party contract — ₹311.18 Cr for the Sattva AANGANE project (3.04 msf, 37-month execution) — alongside the Embassy Eden LOI (₹133.34 Cr), its 25.61 msf Bengaluru land bank, and the KVN Property Holdings JV (24.59 acres) already on file.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25.61 msf Bengaluru land bank; ~120 acres across 6 recent land deals; SICL now holds ₹444.5 Cr+ in third-party construction contracts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Puravankara's construction arm is now embedded in both Embassy's and Sattva's active projects — a notable diversification into contracted construction services alongside its own land-bank growth, and a reminder of how interconnected Grade A peers' execution capacity has become.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Strong Bengaluru sales momentum continues: Godrej Vanantara sold ₹2,000 Cr of homes in its launch week, Godrej Woodscapes (Whitefield-Budigere Cross) has sold 2,000+ homes worth over ₹3,150 Cr, and a 14-acre Hoskote parcel (₹1,500 Cr revenue potential) adds to its East Bengaluru pipeline — all on top of FY24-25 record sales bookings of ~₹29,444 Cr nationally and its 17-deal/443.5-acre FY26 Bengaluru-area land run.</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₹5,150 Cr+ recent Bengaluru launch-week sales + ₹29,444 Cr FY24-25 national bookings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Godrej's scale (national bookings) combined with hyper-local East Bengaluru execution (Whitefield-Budigere, Hoskote) makes it the benchmark to watch most closely for both pricing and absorption-rate comparisons.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Pre-launched Sattva Vasanta Cove, a 1-acre residential development within its flagship Sattva Urbana township in North Bengaluru, alongside ongoing premium listings (Sattva Luxuria, Sattva Magnificia).</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 incl. new Sattva Urbana infill</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(including infill within its own existing townships)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Targeting up to ₹4,000 Cr in pre-sales by FY27, with Pune emerging as a fast-growing market alongside Bengaluru, Chennai and Kolkata — context for its fresh ₹600 Cr Yelahanka row-housing JDA (7 acres) flagged yesterday.</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₹4,000 Cr FY27 pre-sales target (multi-city); ₹600 Cr JDA, 7 acres (Yelahanka)</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Shriram's multi-city diversification (adding Pune) alongside its Bengaluru row-housing move suggests it is pursuing growth on two fronts simultaneously — geographic expansion and product-format diversification.</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(directly adjacent to NBR's own Sarjapur-Mullur footprint); also launching Assetz Codename Sublime in Hoskote (3 BHK from ₹1.84 Cr).</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Sarjapur-adjacent and Hoskote entrants both active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Raised ₹1,600 Cr+ in funding to drive a 10 msf residential development portfolio, on top of the Sarjapur Road (Tropica Phase II), Bellandur (Rosewood) and CDP Road/Varthur launches already on file — even as K-RERA's ₹79.84 lakh delay-interest order and 60-day completion deadline on Adarsh Palm Acres Phase-2B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₹1,600 Cr+ raised for a 10 msf portfolio; active Sarjapur Road launch inside NBR's core corridor,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Going vertical with a ₹250 Cr project comprising 297 apartments across two slender 28-floor towers, on top of the 40-acre pipeline (~₹6,000 Cr potential), Sumadhura Aikya (Soukya Road) and Panathur plotted foray already on file.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₹250 Cr twin-tower (28-floor) project; Residential, plotted,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JV with M S Ramaiah Realty LLP for a 52-acre integrated township in Devanahalli (Birla Trimaya, ₹3,000 Cr target) has booked ~₹2,459 Cr across phases (Phase 4 alone ~₹650 Cr, 85%+ sold); its separate JV with Mitsubishi Estate Co. for a Southeast Bengaluru residential project is now confirmed at a ₹560 Cr investment.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 — two large JVs (Ramaiah Realty in Devanahalli; ₹560 Cr Mitsubishi Estate JV in Southeast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Model BBC Phase 1 completion on TWO scenarios, not one — an optimistic near-term-completion case (8-committee push, consent letters, new deadlock-resolution committee) and a pessimistic continued-standoff case (farmers holding out for statutory legal-route compensation) — rather than treating recent momentum signals as a settled trajectory.</w:t>
      </w:r>
    </w:p>
    <w:p>
      <w:pPr>
        <w:pStyle w:val="ListParagraph"/>
        <w:numPr>
          <w:ilvl w:val="0"/>
          <w:numId w:val="2"/>
        </w:numPr>
        <w:spacing w:after="90"/>
      </w:pPr>
      <w:r>
        <w:rPr>
          <w:rFonts w:ascii="Calibri" w:cs="Calibri" w:eastAsia="Calibri" w:hAnsi="Calibri"/>
          <w:color w:val="1A1A1A"/>
          <w:sz w:val="19"/>
          <w:szCs w:val="19"/>
        </w:rPr>
        <w:t xml:space="preserve">Note the emerging critical commentary on BDA's rapid e-auction cadence ("raising policy concerns") alongside the commercial opportunity already on file — factor a chance of slower future auction cadence or added scrutiny into any multi-round BDA site-acquisition strategy.</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The BDA favouritism-based allotment cancellation is a reminder to independently verify the fairness/process of any BDA site allotment NBR evaluates (e.g., via e-auction) — a clean bid process is now demonstrably necessary, not just sufficient, to survive challenge.</w:t>
      </w:r>
    </w:p>
    <w:p>
      <w:pPr>
        <w:pStyle w:val="ListParagraph"/>
        <w:numPr>
          <w:ilvl w:val="0"/>
          <w:numId w:val="2"/>
        </w:numPr>
        <w:spacing w:after="90"/>
      </w:pPr>
      <w:r>
        <w:rPr>
          <w:rFonts w:ascii="Calibri" w:cs="Calibri" w:eastAsia="Calibri" w:hAnsi="Calibri"/>
          <w:color w:val="1A1A1A"/>
          <w:sz w:val="19"/>
          <w:szCs w:val="19"/>
        </w:rPr>
        <w:t xml:space="preserve">The KVAFSU ruling reinforces that documented public purpose protects a land transfer from being unwound, even where a losing party has plausible institutional-harm arguments — useful precedent framing for any NBR land matter involving public-purpose justification.</w:t>
      </w:r>
    </w:p>
    <w:p>
      <w:pPr>
        <w:pStyle w:val="ListParagraph"/>
        <w:numPr>
          <w:ilvl w:val="0"/>
          <w:numId w:val="2"/>
        </w:numPr>
        <w:spacing w:after="90"/>
      </w:pPr>
      <w:r>
        <w:rPr>
          <w:rFonts w:ascii="Calibri" w:cs="Calibri" w:eastAsia="Calibri" w:hAnsi="Calibri"/>
          <w:color w:val="1A1A1A"/>
          <w:sz w:val="19"/>
          <w:szCs w:val="19"/>
        </w:rPr>
        <w:t xml:space="preserve">Confirm NBR has no outstanding demand traceable to the now-struck-down K-RERA retroactive-delay-fee circular — the ruling invalidated the circular itself, not just one developer's case, so it applies across the board.</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Brigade's spread across South (Kanakapura Road), East (Whitefield-Hoskote) and outer (Malur) Bengaluru shows a broader simultaneous multi-corridor push than most peers — track where this pattern points next, since it suggests Brigade is not committed to any single micro-market the way NBR is to Sarjapur.</w:t>
      </w:r>
    </w:p>
    <w:p>
      <w:pPr>
        <w:pStyle w:val="ListParagraph"/>
        <w:numPr>
          <w:ilvl w:val="0"/>
          <w:numId w:val="2"/>
        </w:numPr>
        <w:spacing w:after="90"/>
      </w:pPr>
      <w:r>
        <w:rPr>
          <w:rFonts w:ascii="Calibri" w:cs="Calibri" w:eastAsia="Calibri" w:hAnsi="Calibri"/>
          <w:color w:val="1A1A1A"/>
          <w:sz w:val="19"/>
          <w:szCs w:val="19"/>
        </w:rPr>
        <w:t xml:space="preserve">Prestige's self-funded flyover approval and Puravankara's cross-developer construction-arm role (SICL working for both Embassy and Sattva) both show Grade A peers finding creative structures to unlock value or capacity beyond simple land acquisition — worth a standing watch item for alternative deal structures NBR could adapt.</w:t>
      </w:r>
    </w:p>
    <w:p>
      <w:pPr>
        <w:pStyle w:val="ListParagraph"/>
        <w:numPr>
          <w:ilvl w:val="0"/>
          <w:numId w:val="2"/>
        </w:numPr>
        <w:spacing w:after="90"/>
      </w:pPr>
      <w:r>
        <w:rPr>
          <w:rFonts w:ascii="Calibri" w:cs="Calibri" w:eastAsia="Calibri" w:hAnsi="Calibri"/>
          <w:color w:val="1A1A1A"/>
          <w:sz w:val="19"/>
          <w:szCs w:val="19"/>
        </w:rPr>
        <w:t xml:space="preserve">Benchmark NBR's own absorption rates against Godrej Properties' national-scale momentum (₹29,444 Cr FY24-25 bookings) combined with hyper-local East Bengaluru execution — still the strongest dual-scale benchmark identified to date.</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Telangana HC has moved from asking the Chief Secretary to consider replacing HYDRAA Commissioner Ranganath to directly ORDERING his removal (1 Aug 2026) over repeat contemptuous violations of court orders — the clearest resolution yet of the week-long escalation, against a backdrop of Hyderabad's 14% YoY residential registration decline (Jan 2026) and the HC's ruling that GHMC cannot acquire private land without owner consent.</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confirmed removal order is a more concrete governance outcome than the ambiguous "replacement request" reported earlier this week — NBR should watch for the successor's enforcement posture, as a leadership change could shift HYDRAA's approach (for better or worse) on any Hyderabad parcel under diligence.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fresh government order details acquisition of 20,494 acres in total — 16,562.56 acres of patta (private) land, 104.01 acres of assigned land, and 3,828.30 acres of government land — for an International Sports City, greenfield international airport and related infrastructure, layering onto the confirmed permanent-capital status (President's April 2026 assent) and the ongoing Phase II 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precise private/assigned/government land breakdown shows the bulk (16,562+ acres) is coming from private patta holders, not government land — a reminder that Amaravati's build-out will keep generating fresh land-acquisition and compensation activity for years; a long-horizon watch item, not yet an actionable NBR opportunity.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HYDRAA's commissioner has now been formally ordered removed — a genuine governance reset for Hyderabad's enforcement posture, though direction (stricter or laxer under new leadership) is not yet known; hold off recalibrating Hyderabad risk assumptions until the successor's approach becomes clear.</w:t>
      </w:r>
    </w:p>
    <w:p>
      <w:pPr>
        <w:pStyle w:val="ListParagraph"/>
        <w:numPr>
          <w:ilvl w:val="0"/>
          <w:numId w:val="2"/>
        </w:numPr>
        <w:spacing w:after="90"/>
      </w:pPr>
      <w:r>
        <w:rPr>
          <w:rFonts w:ascii="Calibri" w:cs="Calibri" w:eastAsia="Calibri" w:hAnsi="Calibri"/>
          <w:color w:val="1A1A1A"/>
          <w:sz w:val="19"/>
          <w:szCs w:val="19"/>
        </w:rPr>
        <w:t xml:space="preserve">Amaravati's precise 20,494-acre acquisition breakdown (16,562+ acres from private patta holders) is a reminder the capital's build-out will keep generating years of fresh land-acquisition and compensation activity — a long-horizon watch item, not a near-term opportunity.</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and repeatedly verify government/lake-buffer land status regardless of HYDRAA's leadership — institutional risk outlasts any single commissioner.</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Star of Mysore — K-RERA Member appointment coverage</w:t>
      </w:r>
    </w:p>
    <w:p>
      <w:pPr>
        <w:pStyle w:val="ListParagraph"/>
        <w:numPr>
          <w:ilvl w:val="0"/>
          <w:numId w:val="2"/>
        </w:numPr>
        <w:spacing w:after="90"/>
      </w:pPr>
      <w:r>
        <w:rPr>
          <w:rFonts w:ascii="Calibri" w:cs="Calibri" w:eastAsia="Calibri" w:hAnsi="Calibri"/>
          <w:color w:val="444444"/>
          <w:sz w:val="17"/>
          <w:szCs w:val="17"/>
        </w:rPr>
        <w:t xml:space="preserve">Adredge — Karnataka HC Section 34/National Highways Act compensation ruling analysis</w:t>
      </w:r>
    </w:p>
    <w:p>
      <w:pPr>
        <w:pStyle w:val="ListParagraph"/>
        <w:numPr>
          <w:ilvl w:val="0"/>
          <w:numId w:val="2"/>
        </w:numPr>
        <w:spacing w:after="90"/>
      </w:pPr>
      <w:r>
        <w:rPr>
          <w:rFonts w:ascii="Calibri" w:cs="Calibri" w:eastAsia="Calibri" w:hAnsi="Calibri"/>
          <w:color w:val="444444"/>
          <w:sz w:val="17"/>
          <w:szCs w:val="17"/>
        </w:rPr>
        <w:t xml:space="preserve">NewsFirst / Deccan Herald — Bengaluru Business Corridor compensation-gap coverage</w:t>
      </w:r>
    </w:p>
    <w:p>
      <w:pPr>
        <w:pStyle w:val="ListParagraph"/>
        <w:numPr>
          <w:ilvl w:val="0"/>
          <w:numId w:val="2"/>
        </w:numPr>
        <w:spacing w:after="90"/>
      </w:pPr>
      <w:r>
        <w:rPr>
          <w:rFonts w:ascii="Calibri" w:cs="Calibri" w:eastAsia="Calibri" w:hAnsi="Calibri"/>
          <w:color w:val="444444"/>
          <w:sz w:val="17"/>
          <w:szCs w:val="17"/>
        </w:rPr>
        <w:t xml:space="preserve">Whalesbook / Business Standard — Godrej Vanantara and Godrej Woodscapes launch-week sales coverage</w:t>
      </w:r>
    </w:p>
    <w:p>
      <w:pPr>
        <w:pStyle w:val="ListParagraph"/>
        <w:numPr>
          <w:ilvl w:val="0"/>
          <w:numId w:val="2"/>
        </w:numPr>
        <w:spacing w:after="90"/>
      </w:pPr>
      <w:r>
        <w:rPr>
          <w:rFonts w:ascii="Calibri" w:cs="Calibri" w:eastAsia="Calibri" w:hAnsi="Calibri"/>
          <w:color w:val="444444"/>
          <w:sz w:val="17"/>
          <w:szCs w:val="17"/>
        </w:rPr>
        <w:t xml:space="preserve">Business Standard — Sobha stake divestment (Anamudi Real Estates/Godrej Industries Group) coverage</w:t>
      </w:r>
    </w:p>
    <w:p>
      <w:pPr>
        <w:pStyle w:val="ListParagraph"/>
        <w:numPr>
          <w:ilvl w:val="0"/>
          <w:numId w:val="2"/>
        </w:numPr>
        <w:spacing w:after="90"/>
      </w:pPr>
      <w:r>
        <w:rPr>
          <w:rFonts w:ascii="Calibri" w:cs="Calibri" w:eastAsia="Calibri" w:hAnsi="Calibri"/>
          <w:color w:val="444444"/>
          <w:sz w:val="17"/>
          <w:szCs w:val="17"/>
        </w:rPr>
        <w:t xml:space="preserve">Business Standard — Aditya Birla Real Estate / Birla Estates–Mitsubishi Estate JV coverage</w:t>
      </w:r>
    </w:p>
    <w:p>
      <w:pPr>
        <w:pStyle w:val="ListParagraph"/>
        <w:numPr>
          <w:ilvl w:val="0"/>
          <w:numId w:val="2"/>
        </w:numPr>
        <w:spacing w:after="90"/>
      </w:pPr>
      <w:r>
        <w:rPr>
          <w:rFonts w:ascii="Calibri" w:cs="Calibri" w:eastAsia="Calibri" w:hAnsi="Calibri"/>
          <w:color w:val="444444"/>
          <w:sz w:val="17"/>
          <w:szCs w:val="17"/>
        </w:rPr>
        <w:t xml:space="preserve">Whalesbook — Birla Estates–M S Ramaiah Realty (Devanahalli township) JV coverage</w:t>
      </w:r>
    </w:p>
    <w:p>
      <w:pPr>
        <w:pStyle w:val="ListParagraph"/>
        <w:numPr>
          <w:ilvl w:val="0"/>
          <w:numId w:val="2"/>
        </w:numPr>
        <w:spacing w:after="90"/>
      </w:pPr>
      <w:r>
        <w:rPr>
          <w:rFonts w:ascii="Calibri" w:cs="Calibri" w:eastAsia="Calibri" w:hAnsi="Calibri"/>
          <w:color w:val="444444"/>
          <w:sz w:val="17"/>
          <w:szCs w:val="17"/>
        </w:rPr>
        <w:t xml:space="preserve">Swarajya Mag / Asianet Newsable — Bengaluru Business Corridor compensation and Section 27 lapse-challenge coverage</w:t>
      </w:r>
    </w:p>
    <w:p>
      <w:pPr>
        <w:pStyle w:val="ListParagraph"/>
        <w:numPr>
          <w:ilvl w:val="0"/>
          <w:numId w:val="2"/>
        </w:numPr>
        <w:spacing w:after="90"/>
      </w:pPr>
      <w:r>
        <w:rPr>
          <w:rFonts w:ascii="Calibri" w:cs="Calibri" w:eastAsia="Calibri" w:hAnsi="Calibri"/>
          <w:color w:val="444444"/>
          <w:sz w:val="17"/>
          <w:szCs w:val="17"/>
        </w:rPr>
        <w:t xml:space="preserve">The News Minute — Telangana HC Army-deployment (Malkajgiri) coverage</w:t>
      </w:r>
    </w:p>
    <w:p>
      <w:pPr>
        <w:pStyle w:val="ListParagraph"/>
        <w:numPr>
          <w:ilvl w:val="0"/>
          <w:numId w:val="2"/>
        </w:numPr>
        <w:spacing w:after="90"/>
      </w:pPr>
      <w:r>
        <w:rPr>
          <w:rFonts w:ascii="Calibri" w:cs="Calibri" w:eastAsia="Calibri" w:hAnsi="Calibri"/>
          <w:color w:val="444444"/>
          <w:sz w:val="17"/>
          <w:szCs w:val="17"/>
        </w:rPr>
        <w:t xml:space="preserve">Deccan Herald — Devanahalli KIADB land-resistance and GBA election-process coverage</w:t>
      </w:r>
    </w:p>
    <w:p>
      <w:pPr>
        <w:pStyle w:val="ListParagraph"/>
        <w:numPr>
          <w:ilvl w:val="0"/>
          <w:numId w:val="2"/>
        </w:numPr>
        <w:spacing w:after="90"/>
      </w:pPr>
      <w:r>
        <w:rPr>
          <w:rFonts w:ascii="Calibri" w:cs="Calibri" w:eastAsia="Calibri" w:hAnsi="Calibri"/>
          <w:color w:val="444444"/>
          <w:sz w:val="17"/>
          <w:szCs w:val="17"/>
        </w:rPr>
        <w:t xml:space="preserve">Vault PropTech / PropNewz — e-Khata/e-Aasthi GBA auto-approval coverage</w:t>
      </w:r>
    </w:p>
    <w:p>
      <w:pPr>
        <w:pStyle w:val="ListParagraph"/>
        <w:numPr>
          <w:ilvl w:val="0"/>
          <w:numId w:val="2"/>
        </w:numPr>
        <w:spacing w:after="90"/>
      </w:pPr>
      <w:r>
        <w:rPr>
          <w:rFonts w:ascii="Calibri" w:cs="Calibri" w:eastAsia="Calibri" w:hAnsi="Calibri"/>
          <w:color w:val="444444"/>
          <w:sz w:val="17"/>
          <w:szCs w:val="17"/>
        </w:rPr>
        <w:t xml:space="preserve">BiddingPulse — BDA e-auction bidding-process mechanics</w:t>
      </w:r>
    </w:p>
    <w:p>
      <w:pPr>
        <w:pStyle w:val="ListParagraph"/>
        <w:numPr>
          <w:ilvl w:val="0"/>
          <w:numId w:val="2"/>
        </w:numPr>
        <w:spacing w:after="90"/>
      </w:pPr>
      <w:r>
        <w:rPr>
          <w:rFonts w:ascii="Calibri" w:cs="Calibri" w:eastAsia="Calibri" w:hAnsi="Calibri"/>
          <w:color w:val="444444"/>
          <w:sz w:val="17"/>
          <w:szCs w:val="17"/>
        </w:rPr>
        <w:t xml:space="preserve">Varthabharati / NewsFirst Prime — Bengaluru Business Corridor 1,000+ farmer objections and HUDCO funding-pressure coverage</w:t>
      </w:r>
    </w:p>
    <w:p>
      <w:pPr>
        <w:pStyle w:val="ListParagraph"/>
        <w:numPr>
          <w:ilvl w:val="0"/>
          <w:numId w:val="2"/>
        </w:numPr>
        <w:spacing w:after="90"/>
      </w:pPr>
      <w:r>
        <w:rPr>
          <w:rFonts w:ascii="Calibri" w:cs="Calibri" w:eastAsia="Calibri" w:hAnsi="Calibri"/>
          <w:color w:val="444444"/>
          <w:sz w:val="17"/>
          <w:szCs w:val="17"/>
        </w:rPr>
        <w:t xml:space="preserve">Proplisto / BigInfo — Puravankara land-bank and Embassy Eden (Starworth/SICL) contract coverage</w:t>
      </w:r>
    </w:p>
    <w:p>
      <w:pPr>
        <w:pStyle w:val="ListParagraph"/>
        <w:numPr>
          <w:ilvl w:val="0"/>
          <w:numId w:val="2"/>
        </w:numPr>
        <w:spacing w:after="90"/>
      </w:pPr>
      <w:r>
        <w:rPr>
          <w:rFonts w:ascii="Calibri" w:cs="Calibri" w:eastAsia="Calibri" w:hAnsi="Calibri"/>
          <w:color w:val="444444"/>
          <w:sz w:val="17"/>
          <w:szCs w:val="17"/>
        </w:rPr>
        <w:t xml:space="preserve">Company websites (adarshdevelopers.com) — Adarsh Tropica Phase II and Adarsh Rosewood launch coverage</w:t>
      </w:r>
    </w:p>
    <w:p>
      <w:pPr>
        <w:pStyle w:val="ListParagraph"/>
        <w:numPr>
          <w:ilvl w:val="0"/>
          <w:numId w:val="2"/>
        </w:numPr>
        <w:spacing w:after="90"/>
      </w:pPr>
      <w:r>
        <w:rPr>
          <w:rFonts w:ascii="Calibri" w:cs="Calibri" w:eastAsia="Calibri" w:hAnsi="Calibri"/>
          <w:color w:val="444444"/>
          <w:sz w:val="17"/>
          <w:szCs w:val="17"/>
        </w:rPr>
        <w:t xml:space="preserve">Namma Ward — GBA revised draft voter list coverage</w:t>
      </w:r>
    </w:p>
    <w:p>
      <w:pPr>
        <w:pStyle w:val="ListParagraph"/>
        <w:numPr>
          <w:ilvl w:val="0"/>
          <w:numId w:val="2"/>
        </w:numPr>
        <w:spacing w:after="90"/>
      </w:pPr>
      <w:r>
        <w:rPr>
          <w:rFonts w:ascii="Calibri" w:cs="Calibri" w:eastAsia="Calibri" w:hAnsi="Calibri"/>
          <w:color w:val="444444"/>
          <w:sz w:val="17"/>
          <w:szCs w:val="17"/>
        </w:rPr>
        <w:t xml:space="preserve">ThePrint / TheNewsMinute — Telangana HC HYDRAA-chief custody warning and GHMC consent ruling coverage</w:t>
      </w:r>
    </w:p>
    <w:p>
      <w:pPr>
        <w:pStyle w:val="ListParagraph"/>
        <w:numPr>
          <w:ilvl w:val="0"/>
          <w:numId w:val="2"/>
        </w:numPr>
        <w:spacing w:after="90"/>
      </w:pPr>
      <w:r>
        <w:rPr>
          <w:rFonts w:ascii="Calibri" w:cs="Calibri" w:eastAsia="Calibri" w:hAnsi="Calibri"/>
          <w:color w:val="444444"/>
          <w:sz w:val="17"/>
          <w:szCs w:val="17"/>
        </w:rPr>
        <w:t xml:space="preserve">PropNewz — Karnataka guidance value gazette-notification status (14 Apr 2026 revision) coverage</w:t>
      </w:r>
    </w:p>
    <w:p>
      <w:pPr>
        <w:pStyle w:val="ListParagraph"/>
        <w:numPr>
          <w:ilvl w:val="0"/>
          <w:numId w:val="2"/>
        </w:numPr>
        <w:spacing w:after="90"/>
      </w:pPr>
      <w:r>
        <w:rPr>
          <w:rFonts w:ascii="Calibri" w:cs="Calibri" w:eastAsia="Calibri" w:hAnsi="Calibri"/>
          <w:color w:val="444444"/>
          <w:sz w:val="17"/>
          <w:szCs w:val="17"/>
        </w:rPr>
        <w:t xml:space="preserve">The Hans India / Deccan Herald — Bengaluru Business Corridor SNC L1-bid and BBCL land-acquisition-progress coverage</w:t>
      </w:r>
    </w:p>
    <w:p>
      <w:pPr>
        <w:pStyle w:val="ListParagraph"/>
        <w:numPr>
          <w:ilvl w:val="0"/>
          <w:numId w:val="2"/>
        </w:numPr>
        <w:spacing w:after="90"/>
      </w:pPr>
      <w:r>
        <w:rPr>
          <w:rFonts w:ascii="Calibri" w:cs="Calibri" w:eastAsia="Calibri" w:hAnsi="Calibri"/>
          <w:color w:val="444444"/>
          <w:sz w:val="17"/>
          <w:szCs w:val="17"/>
        </w:rPr>
        <w:t xml:space="preserve">NewsMeter — HYDRAA Commissioner Ranganath contempt-case counter-narrative and Chief Secretary replacement-request coverage</w:t>
      </w:r>
    </w:p>
    <w:p>
      <w:pPr>
        <w:pStyle w:val="ListParagraph"/>
        <w:numPr>
          <w:ilvl w:val="0"/>
          <w:numId w:val="2"/>
        </w:numPr>
        <w:spacing w:after="90"/>
      </w:pPr>
      <w:r>
        <w:rPr>
          <w:rFonts w:ascii="Calibri" w:cs="Calibri" w:eastAsia="Calibri" w:hAnsi="Calibri"/>
          <w:color w:val="444444"/>
          <w:sz w:val="17"/>
          <w:szCs w:val="17"/>
        </w:rPr>
        <w:t xml:space="preserve">BookNewProperty — Prestige BBMP/GBA private-flyover approval coverage</w:t>
      </w:r>
    </w:p>
    <w:p>
      <w:pPr>
        <w:pStyle w:val="ListParagraph"/>
        <w:numPr>
          <w:ilvl w:val="0"/>
          <w:numId w:val="2"/>
        </w:numPr>
        <w:spacing w:after="90"/>
      </w:pPr>
      <w:r>
        <w:rPr>
          <w:rFonts w:ascii="Calibri" w:cs="Calibri" w:eastAsia="Calibri" w:hAnsi="Calibri"/>
          <w:color w:val="444444"/>
          <w:sz w:val="17"/>
          <w:szCs w:val="17"/>
        </w:rPr>
        <w:t xml:space="preserve">NewsFirst Prime / Deccan Herald — Thalaghattapura BMICP land-acquisition quashing coverage (17-year dormancy, 2008 denotification-committee finding)</w:t>
      </w:r>
    </w:p>
    <w:p>
      <w:pPr>
        <w:pStyle w:val="ListParagraph"/>
        <w:numPr>
          <w:ilvl w:val="0"/>
          <w:numId w:val="2"/>
        </w:numPr>
        <w:spacing w:after="90"/>
      </w:pPr>
      <w:r>
        <w:rPr>
          <w:rFonts w:ascii="Calibri" w:cs="Calibri" w:eastAsia="Calibri" w:hAnsi="Calibri"/>
          <w:color w:val="444444"/>
          <w:sz w:val="17"/>
          <w:szCs w:val="17"/>
        </w:rPr>
        <w:t xml:space="preserve">Casemine — Karnataka land-acquisition-denotification case-law reference</w:t>
      </w:r>
    </w:p>
    <w:p>
      <w:pPr>
        <w:pStyle w:val="ListParagraph"/>
        <w:numPr>
          <w:ilvl w:val="0"/>
          <w:numId w:val="2"/>
        </w:numPr>
        <w:spacing w:after="90"/>
      </w:pPr>
      <w:r>
        <w:rPr>
          <w:rFonts w:ascii="Calibri" w:cs="Calibri" w:eastAsia="Calibri" w:hAnsi="Calibri"/>
          <w:color w:val="444444"/>
          <w:sz w:val="17"/>
          <w:szCs w:val="17"/>
        </w:rPr>
        <w:t xml:space="preserve">Business Standard / Tradebrains — Adarsh Developers funding, Sumadhura twin-tower project, Birla Estates-Mitsubishi JV figure coverage</w:t>
      </w:r>
    </w:p>
    <w:p>
      <w:pPr>
        <w:pStyle w:val="ListParagraph"/>
        <w:numPr>
          <w:ilvl w:val="0"/>
          <w:numId w:val="2"/>
        </w:numPr>
        <w:spacing w:after="90"/>
      </w:pPr>
      <w:r>
        <w:rPr>
          <w:rFonts w:ascii="Calibri" w:cs="Calibri" w:eastAsia="Calibri" w:hAnsi="Calibri"/>
          <w:color w:val="444444"/>
          <w:sz w:val="17"/>
          <w:szCs w:val="17"/>
        </w:rPr>
        <w:t xml:space="preserve">India Law / Daksha Legal — K-RERA recovery-certificate 8-week enforcement ruling (Rajesh Rao C.V. v. State of Karnataka) coverage</w:t>
      </w:r>
    </w:p>
    <w:p>
      <w:pPr>
        <w:pStyle w:val="ListParagraph"/>
        <w:numPr>
          <w:ilvl w:val="0"/>
          <w:numId w:val="2"/>
        </w:numPr>
        <w:spacing w:after="90"/>
      </w:pPr>
      <w:r>
        <w:rPr>
          <w:rFonts w:ascii="Calibri" w:cs="Calibri" w:eastAsia="Calibri" w:hAnsi="Calibri"/>
          <w:color w:val="444444"/>
          <w:sz w:val="17"/>
          <w:szCs w:val="17"/>
        </w:rPr>
        <w:t xml:space="preserve">BookNewProperty — Karnataka HC retroactive K-RERA delay-fee ruling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village-wise compensation and consent-letter progress coverage</w:t>
      </w:r>
    </w:p>
    <w:p>
      <w:pPr>
        <w:pStyle w:val="ListParagraph"/>
        <w:numPr>
          <w:ilvl w:val="0"/>
          <w:numId w:val="2"/>
        </w:numPr>
        <w:spacing w:after="90"/>
      </w:pPr>
      <w:r>
        <w:rPr>
          <w:rFonts w:ascii="Calibri" w:cs="Calibri" w:eastAsia="Calibri" w:hAnsi="Calibri"/>
          <w:color w:val="444444"/>
          <w:sz w:val="17"/>
          <w:szCs w:val="17"/>
        </w:rPr>
        <w:t xml:space="preserve">Deccan Herald — BDA 40%-residential-plot farmer offer coverage</w:t>
      </w:r>
    </w:p>
    <w:p>
      <w:pPr>
        <w:pStyle w:val="ListParagraph"/>
        <w:numPr>
          <w:ilvl w:val="0"/>
          <w:numId w:val="2"/>
        </w:numPr>
        <w:spacing w:after="90"/>
      </w:pPr>
      <w:r>
        <w:rPr>
          <w:rFonts w:ascii="Calibri" w:cs="Calibri" w:eastAsia="Calibri" w:hAnsi="Calibri"/>
          <w:color w:val="444444"/>
          <w:sz w:val="17"/>
          <w:szCs w:val="17"/>
        </w:rPr>
        <w:t xml:space="preserve">The Hans India — Hyderabad residential registration decline (Jan 2026) coverage</w:t>
      </w:r>
    </w:p>
    <w:p>
      <w:pPr>
        <w:pStyle w:val="ListParagraph"/>
        <w:numPr>
          <w:ilvl w:val="0"/>
          <w:numId w:val="2"/>
        </w:numPr>
        <w:spacing w:after="90"/>
      </w:pPr>
      <w:r>
        <w:rPr>
          <w:rFonts w:ascii="Calibri" w:cs="Calibri" w:eastAsia="Calibri" w:hAnsi="Calibri"/>
          <w:color w:val="444444"/>
          <w:sz w:val="17"/>
          <w:szCs w:val="17"/>
        </w:rPr>
        <w:t xml:space="preserve">Bar and Bench — Karnataka HC RERA-applicability stay on pre-2016 BDA land-acquisition layouts coverage</w:t>
      </w:r>
    </w:p>
    <w:p>
      <w:pPr>
        <w:pStyle w:val="ListParagraph"/>
        <w:numPr>
          <w:ilvl w:val="0"/>
          <w:numId w:val="2"/>
        </w:numPr>
        <w:spacing w:after="90"/>
      </w:pPr>
      <w:r>
        <w:rPr>
          <w:rFonts w:ascii="Calibri" w:cs="Calibri" w:eastAsia="Calibri" w:hAnsi="Calibri"/>
          <w:color w:val="444444"/>
          <w:sz w:val="17"/>
          <w:szCs w:val="17"/>
        </w:rPr>
        <w:t xml:space="preserve">ILF Law / IBC Laws — Karnataka HC rulings on RERA-order civil-court execution and Planning/Regulatory Authority coordination</w:t>
      </w:r>
    </w:p>
    <w:p>
      <w:pPr>
        <w:pStyle w:val="ListParagraph"/>
        <w:numPr>
          <w:ilvl w:val="0"/>
          <w:numId w:val="2"/>
        </w:numPr>
        <w:spacing w:after="90"/>
      </w:pPr>
      <w:r>
        <w:rPr>
          <w:rFonts w:ascii="Calibri" w:cs="Calibri" w:eastAsia="Calibri" w:hAnsi="Calibri"/>
          <w:color w:val="444444"/>
          <w:sz w:val="17"/>
          <w:szCs w:val="17"/>
        </w:rPr>
        <w:t xml:space="preserve">Propvale / The Daily Jagran — Bengaluru Business Corridor DC (Land Acquisition) appointment and ₹7,000 Cr tender coverage</w:t>
      </w:r>
    </w:p>
    <w:p>
      <w:pPr>
        <w:pStyle w:val="ListParagraph"/>
        <w:numPr>
          <w:ilvl w:val="0"/>
          <w:numId w:val="2"/>
        </w:numPr>
        <w:spacing w:after="90"/>
      </w:pPr>
      <w:r>
        <w:rPr>
          <w:rFonts w:ascii="Calibri" w:cs="Calibri" w:eastAsia="Calibri" w:hAnsi="Calibri"/>
          <w:color w:val="444444"/>
          <w:sz w:val="17"/>
          <w:szCs w:val="17"/>
        </w:rPr>
        <w:t xml:space="preserve">Republic World — NBR Group "Tier 1 developer league" trade-press coverage</w:t>
      </w:r>
    </w:p>
    <w:p>
      <w:pPr>
        <w:pStyle w:val="ListParagraph"/>
        <w:numPr>
          <w:ilvl w:val="0"/>
          <w:numId w:val="2"/>
        </w:numPr>
        <w:spacing w:after="90"/>
      </w:pPr>
      <w:r>
        <w:rPr>
          <w:rFonts w:ascii="Calibri" w:cs="Calibri" w:eastAsia="Calibri" w:hAnsi="Calibri"/>
          <w:color w:val="444444"/>
          <w:sz w:val="17"/>
          <w:szCs w:val="17"/>
        </w:rPr>
        <w:t xml:space="preserve">Whalesbook — Sobha FY27 land-spend continuity coverage</w:t>
      </w:r>
    </w:p>
    <w:p>
      <w:pPr>
        <w:pStyle w:val="ListParagraph"/>
        <w:numPr>
          <w:ilvl w:val="0"/>
          <w:numId w:val="2"/>
        </w:numPr>
        <w:spacing w:after="90"/>
      </w:pPr>
      <w:r>
        <w:rPr>
          <w:rFonts w:ascii="Calibri" w:cs="Calibri" w:eastAsia="Calibri" w:hAnsi="Calibri"/>
          <w:color w:val="444444"/>
          <w:sz w:val="17"/>
          <w:szCs w:val="17"/>
        </w:rPr>
        <w:t xml:space="preserve">NewsMeter — Telangana HC HYDRAA-commissioner removal order (1 Aug 2026) coverage</w:t>
      </w:r>
    </w:p>
    <w:p>
      <w:pPr>
        <w:pStyle w:val="ListParagraph"/>
        <w:numPr>
          <w:ilvl w:val="0"/>
          <w:numId w:val="2"/>
        </w:numPr>
        <w:spacing w:after="90"/>
      </w:pPr>
      <w:r>
        <w:rPr>
          <w:rFonts w:ascii="Calibri" w:cs="Calibri" w:eastAsia="Calibri" w:hAnsi="Calibri"/>
          <w:color w:val="444444"/>
          <w:sz w:val="17"/>
          <w:szCs w:val="17"/>
        </w:rPr>
        <w:t xml:space="preserve">TheRealtyToday — KREAT "BDA as promoter" (Nadaprabhu Kempegowda Layout) ruling coverage</w:t>
      </w:r>
    </w:p>
    <w:p>
      <w:pPr>
        <w:pStyle w:val="ListParagraph"/>
        <w:numPr>
          <w:ilvl w:val="0"/>
          <w:numId w:val="2"/>
        </w:numPr>
        <w:spacing w:after="90"/>
      </w:pPr>
      <w:r>
        <w:rPr>
          <w:rFonts w:ascii="Calibri" w:cs="Calibri" w:eastAsia="Calibri" w:hAnsi="Calibri"/>
          <w:color w:val="444444"/>
          <w:sz w:val="17"/>
          <w:szCs w:val="17"/>
        </w:rPr>
        <w:t xml:space="preserve">Deccan Herald — BDA landowner-consultation committee structure (8 committees, 18 locations) and e-auction policy-concern coverage</w:t>
      </w:r>
    </w:p>
    <w:p>
      <w:pPr>
        <w:pStyle w:val="ListParagraph"/>
        <w:numPr>
          <w:ilvl w:val="0"/>
          <w:numId w:val="2"/>
        </w:numPr>
        <w:spacing w:after="90"/>
      </w:pPr>
      <w:r>
        <w:rPr>
          <w:rFonts w:ascii="Calibri" w:cs="Calibri" w:eastAsia="Calibri" w:hAnsi="Calibri"/>
          <w:color w:val="444444"/>
          <w:sz w:val="17"/>
          <w:szCs w:val="17"/>
        </w:rPr>
        <w:t xml:space="preserve">ConstructionWorld / NewsFirst Prime — Bengaluru Business Corridor "stalled over land dispute" coverage</w:t>
      </w:r>
    </w:p>
    <w:p>
      <w:pPr>
        <w:pStyle w:val="ListParagraph"/>
        <w:numPr>
          <w:ilvl w:val="0"/>
          <w:numId w:val="2"/>
        </w:numPr>
        <w:spacing w:after="90"/>
      </w:pPr>
      <w:r>
        <w:rPr>
          <w:rFonts w:ascii="Calibri" w:cs="Calibri" w:eastAsia="Calibri" w:hAnsi="Calibri"/>
          <w:color w:val="444444"/>
          <w:sz w:val="17"/>
          <w:szCs w:val="17"/>
        </w:rPr>
        <w:t xml:space="preserve">Deccan Herald — farmers' legal-compensation demand and new BBC deadlock-resolution committee (Addl. Chief Secretary-chaired) coverage</w:t>
      </w:r>
    </w:p>
    <w:p>
      <w:pPr>
        <w:pStyle w:val="ListParagraph"/>
        <w:numPr>
          <w:ilvl w:val="0"/>
          <w:numId w:val="2"/>
        </w:numPr>
        <w:spacing w:after="90"/>
      </w:pPr>
      <w:r>
        <w:rPr>
          <w:rFonts w:ascii="Calibri" w:cs="Calibri" w:eastAsia="Calibri" w:hAnsi="Calibri"/>
          <w:color w:val="444444"/>
          <w:sz w:val="17"/>
          <w:szCs w:val="17"/>
        </w:rPr>
        <w:t xml:space="preserve">The Hans India / ILF Law — Karnataka HC civil-court-execution ruling (Oct 2025) and retroactive-delay-fee circular strike-down (Sep 2025) coverage</w:t>
      </w:r>
    </w:p>
    <w:p>
      <w:pPr>
        <w:pStyle w:val="ListParagraph"/>
        <w:numPr>
          <w:ilvl w:val="0"/>
          <w:numId w:val="2"/>
        </w:numPr>
        <w:spacing w:after="90"/>
      </w:pPr>
      <w:r>
        <w:rPr>
          <w:rFonts w:ascii="Calibri" w:cs="Calibri" w:eastAsia="Calibri" w:hAnsi="Calibri"/>
          <w:color w:val="444444"/>
          <w:sz w:val="17"/>
          <w:szCs w:val="17"/>
        </w:rPr>
        <w:t xml:space="preserve">LiveLawBiz — RERA / Karnataka Apartment Ownership Act non-repugnancy ruling coverage</w:t>
      </w:r>
    </w:p>
    <w:p>
      <w:pPr>
        <w:pStyle w:val="ListParagraph"/>
        <w:numPr>
          <w:ilvl w:val="0"/>
          <w:numId w:val="2"/>
        </w:numPr>
        <w:spacing w:after="90"/>
      </w:pPr>
      <w:r>
        <w:rPr>
          <w:rFonts w:ascii="Calibri" w:cs="Calibri" w:eastAsia="Calibri" w:hAnsi="Calibri"/>
          <w:color w:val="444444"/>
          <w:sz w:val="17"/>
          <w:szCs w:val="17"/>
        </w:rPr>
        <w:t xml:space="preserve">PropNewz — Bengaluru Business Corridor Package 1 bidder (Shankara Narayana Constructions / Vishwa Samudra Engineering) coverage</w:t>
      </w:r>
    </w:p>
    <w:p>
      <w:pPr>
        <w:pStyle w:val="ListParagraph"/>
        <w:numPr>
          <w:ilvl w:val="0"/>
          <w:numId w:val="2"/>
        </w:numPr>
        <w:spacing w:after="90"/>
      </w:pPr>
      <w:r>
        <w:rPr>
          <w:rFonts w:ascii="Calibri" w:cs="Calibri" w:eastAsia="Calibri" w:hAnsi="Calibri"/>
          <w:color w:val="444444"/>
          <w:sz w:val="17"/>
          <w:szCs w:val="17"/>
        </w:rPr>
        <w:t xml:space="preserve">Asianet Newsable — Bengaluru Business Corridor commercial-plot compensation rate (~₹8,385/sq ft) coverage</w:t>
      </w:r>
    </w:p>
    <w:p>
      <w:pPr>
        <w:pStyle w:val="ListParagraph"/>
        <w:numPr>
          <w:ilvl w:val="0"/>
          <w:numId w:val="2"/>
        </w:numPr>
        <w:spacing w:after="90"/>
      </w:pPr>
      <w:r>
        <w:rPr>
          <w:rFonts w:ascii="Calibri" w:cs="Calibri" w:eastAsia="Calibri" w:hAnsi="Calibri"/>
          <w:color w:val="444444"/>
          <w:sz w:val="17"/>
          <w:szCs w:val="17"/>
        </w:rPr>
        <w:t xml:space="preserve">Whalesbook — Karnataka HC BDA site-allotment favouritism cancellation and KVAFSU land-transfer PIL dismissal coverage</w:t>
      </w:r>
    </w:p>
    <w:p>
      <w:pPr>
        <w:pStyle w:val="ListParagraph"/>
        <w:numPr>
          <w:ilvl w:val="0"/>
          <w:numId w:val="2"/>
        </w:numPr>
        <w:spacing w:after="90"/>
      </w:pPr>
      <w:r>
        <w:rPr>
          <w:rFonts w:ascii="Calibri" w:cs="Calibri" w:eastAsia="Calibri" w:hAnsi="Calibri"/>
          <w:color w:val="444444"/>
          <w:sz w:val="17"/>
          <w:szCs w:val="17"/>
        </w:rPr>
        <w:t xml:space="preserve">BookNewProperty / Business Standard — Brigade Group Kanakapura Road land-parcel acquisition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Sattva, Shriram Properties, Sumadhura, Century Real Estate, Assetz, Casagrand, Adarsh Developers, Birla Estates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Tuesday, 4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2026-08-04T03:36:34.145Z</dcterms:created>
  <dcterms:modified xsi:type="dcterms:W3CDTF">2026-08-04T03:36:34.163Z</dcterms:modified>
</cp:coreProperties>
</file>

<file path=docProps/custom.xml><?xml version="1.0" encoding="utf-8"?>
<Properties xmlns="http://schemas.openxmlformats.org/officeDocument/2006/custom-properties" xmlns:vt="http://schemas.openxmlformats.org/officeDocument/2006/docPropsVTypes"/>
</file>