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Wednesday, 26 August 2026   •   Vol. I — Edition 033</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Puravankara has signed a fresh JDA for a 7.83-acre South-East Bengaluru parcel near the Electronic City corridor (Hosa Road/Hosur Road, Yellow Line metro access) — ₹1,100 Cr GDV, ~0.89 msf saleable — its 5th land transaction in FY27, taking cumulative FY27 business development to ~49.76 acres / ~₹6,300 Cr GDV / ~5.12 msf. Confirms Puravankara as the most consistently acquisitive Grade A peer this year.</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Brigade Group has acquired a 2-acre parcel in Whitefield, East Bengaluru for a premium residential project (~₹475 Cr GDV) — a further East Bengaluru entrant alongside its Kanakapura Road and Whitefield-Hoskote holdings already on file.</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 quiet day otherwise: no public BDA response yet to the BBC Governor petition, no fresh Karnataka HC land ruling since the Lalitha S. GST-compensation decision, no K-RERA leadership change, and no new NBR-specific news since the last edition.</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Two separate tracks are now clearly diverging: administrative handover (GBA formally replacing BBMP from 2 September 2026, Maheshwar Rao as incoming commissioner) remains on schedule, but civic ELECTIONS have been pushed back a third time — the Supreme Court extended the poll deadline from 31 August to 31 December 2026, citing the ongoing Special Intensive Revision (SIR) of electoral rolls (concluding only by November), with a stern warning against further delay. Karnataka BJP has filed a separate SC plea alleging the state government deliberately delayed polls fearing electoral loss.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NBR should treat the 2 September administrative handover as the operative near-term date for khata/tax/approval filings, but now expect elected local governance (and any associated policy shifts) to remain unsettled until at least December 2026 — a materially longer governance-uncertainty window than previously assumed. The BJP's political challenge adds a layer of uncertainty to whether even the December deadline holds.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Price Hike</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raised the price of sites in the 3,069-acre Dr K Shivaram Karanth Layout (North Bengaluru, ~34,000 sites eventually planned) to ₹6,000/sq ft — a ~22% hike from the ₹4,900/sq ft rate fixed in late 2023, making a standard 30x40 site cost ~₹72 lakh. Allotment will proceed in two phases (first phase ~3,000 sites) owing to ongoing legal proceedings.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~22% BDA site-price hike in a major North Bengaluru layout is a useful fresh benchmark for guidance-value trajectory in that corridor — factor it into comparative land-cost assumptions for any NBR parcel evaluation near Karanth Layout, and note that a large public-land supply (34,000 sites eventually) is still working through legal proceedings before full release.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7-storey building collapse in Anjaiah Nagar, Gachibowli killed 2 workers, prompting Commissioner Ranganath to order identification and demolition of unsafe buildings citywide — notable because this building-safety drive is proceeding even while the Telangana HC's broader SOP-conditioned restraint on HYDRAA's encroachment-linked demolitions remains in force, suggesting the two enforcement tracks (structural safety vs. encroachment) are being treated as legally distinct. This layers onto the ₹72 Cr HYDRAA funding tranche, Ranganath's public land-mafia allegations (Lothukunta case), the G.O.Ms.No.218 HMDA TDR geographic-flexibility amendment, TG RERA's realtor penalties, the removal-order appeal,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building-safety drive proceeding in parallel with the demolition restraint is a useful clarification: HYDRAA's enforcement posture is not uniformly paused — a structural-safety hazard can still trigger immediate demolition action distinct from the encroachment-enforcement track courts have restrained. NBR should not assume any HYDRAA-adjacent Hyderabad asset is fully insulated from action merely because the encroachment-demolition SOP is still pending.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green-lit a fresh 2,344.12-acre land-pooling round for Amaravati's Inner Ring Road and Erraballen-Namburu Railway Line (20 Aug), with 689.61 acres of government land collected in Tadikonda Mandal's Motadaka area; Pedamaddur's Phase II pooling has separately reached 70.66% (719.35 of 1,018 acres). The Supreme Court (14 Aug 2026) declined to interfere with the AP High Court's quashing of a 2021 criminal case against Chief Minister Chandrababu Naidu and former minister Ponguru Narayana over alleged Amaravati land-pooling irregularities — removing a lingering legal cloud over the scheme's leadership. This adds to the State Investment Promotion Board's ₹2,08,406 Cr investment approval (25 projects, 11 Aug)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Continued incremental land-pooling progress (Pedamaddur at 70.66%, a fresh 2,344-acre round approved) plus the Supreme Court clearing the CM's legal exposure over the scheme confirms Amaravati's capital build-out remains an active, legally de-risked, multi-front effort rather than stalled — still not an actionable NBR opportunity given no Karnataka/Bengaluru nexus, but worth tracking as a barometer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Wednesday, 26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2026-08-26T03:36:01.778Z</dcterms:created>
  <dcterms:modified xsi:type="dcterms:W3CDTF">2026-08-26T03:36:01.792Z</dcterms:modified>
</cp:coreProperties>
</file>

<file path=docProps/custom.xml><?xml version="1.0" encoding="utf-8"?>
<Properties xmlns="http://schemas.openxmlformats.org/officeDocument/2006/custom-properties" xmlns:vt="http://schemas.openxmlformats.org/officeDocument/2006/docPropsVTypes"/>
</file>