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Saturday, 15 August 2026   •   Vol. I — Edition 025</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A3121B"/>
          <w:sz w:val="19"/>
          <w:szCs w:val="19"/>
        </w:rPr>
        <w:t xml:space="preserve">[HIGH]  </w:t>
      </w:r>
      <w:r>
        <w:rPr>
          <w:rFonts w:ascii="Calibri" w:cs="Calibri" w:eastAsia="Calibri" w:hAnsi="Calibri"/>
          <w:color w:val="1A1A1A"/>
          <w:sz w:val="19"/>
          <w:szCs w:val="19"/>
        </w:rPr>
        <w:t xml:space="preserve">The Supreme Court has extended the deadline for GBA's five-corporation civic elections for a THIRD time — from 31 August to 31 December 2026 — citing the ongoing Special Intensive Revision (SIR) of electoral rolls (expected to conclude only by November), while issuing a stern warning that no further extension will be granted. Karnataka BJP has separately filed a Supreme Court plea alleging the Congress state government deliberately delayed the polls fearing electoral loss.</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Representatives from several Telangana districts have asked the state government to expand HYDRAA statewide to fight lake/land encroachments, meeting Commissioner Ranganath directly on 12 Aug — a fresh institutional-growth signal running alongside the ongoing removal-order appeal and contempt proceedings already on file.</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No public BDA response yet to the BBC Governor petition or the Madavara High Court petition; Phase 1 land acquisition remains at ~83% complete.</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A quiet Independence Day holiday otherwise: no new NBR-specific news, fresh Grade A/mid-tier Bengaluru land deal, or new Karnataka HC ruling since yesterday.</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Two separate tracks are now clearly diverging: administrative handover (GBA formally replacing BBMP from 2 September 2026, Maheshwar Rao as incoming commissioner) remains on schedule, but civic ELECTIONS have been pushed back a third time — the Supreme Court extended the poll deadline from 31 August to 31 December 2026, citing the ongoing Special Intensive Revision (SIR) of electoral rolls (concluding only by November), with a stern warning against further delay. Karnataka BJP has filed a separate SC plea alleging the state government deliberately delayed polls fearing electoral loss.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NBR should treat the 2 September administrative handover as the operative near-term date for khata/tax/approval filings, but now expect elected local governance (and any associated policy shifts) to remain unsettled until at least December 2026 — a materially longer governance-uncertainty window than previously assumed. The BJP's political challenge adds a layer of uncertainty to whether even the December deadline holds.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Conversion charge remains cut from 5% to 2% of guidance value for the special window (15 May – 23 Aug 2026) — now roughly one month from closing.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Fast-track conversion for any NBR-held or under-acquisition B-Khata parcels; with ~4 weeks left, this should now be treated as a near-term legal-team deadline, not a background item.</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13th BDA e-auction this year (175 sites), following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when calibrating its own near-term absorption-rate assumptions.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confirm continued acquisition momentum on top of the Hennur Road JDA already on file: pre-sales rose 28% YoY to ₹1,439 Cr, collections +40% YoY to ₹1,199 Cr, average price realisation +18% YoY (₹10,589/sq ft), and 4 fresh land transactions (~41.93 acres, ~4.23 msf, ₹5,200 Cr GDV) were signed during the quarter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₹1,439 Cr Q1 FY27 pre-sales (+28% YoY); 4 new land deals/41.93 acres/₹5,200 Cr GDV in the quarter; 25.61 msf Bengaluru land bank; SICL holds ₹444.5 Cr+ in third-party construction contracts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now with a strong Q1 FY27 print to match — reinforces it as a benchmark for both land-acquisition cadence and price-realisation growth.</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(Apr-Jun 2026, reported 4 Aug) confirm the Bengaluru momentum already on file was no launch-week blip: national sales bookings hit a record ₹8,651 Cr (+22% YoY, its highest-ever Q1), with Bengaluru alone contributing 44% (~₹3,800 Cr) led by the Godrej Vanantara launch (₹3,237 Cr) — on top of Godrej Woodscapes (Whitefield-Budigere Cross, 2,000+ homes / ₹3,150 Cr+)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₹8,651 Cr Q1 FY27 national bookings (+22% YoY), Bengaluru = 44% share (~₹3,800 Cr); 17 deals / 443.5 acres FY26 Bengaluru-area land run; ₹29,444 Cr FY24-25 national bookings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confirmed 44% Bengaluru share of a record national quarter is the strongest evidence yet that Godrej's growth is disproportionately Bengaluru-driven — reinforces it as the benchmark to watch most closely for both pricing and absorption-rate comparisons, though the falling profit margin despite rising bookings is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fresh ₹600 Cr Yelahanka row-housing JDA (7 acres) flagged yesterday.</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Shriram's multi-city diversification (adding Pune) alongside its Bengaluru row-housing move suggests it is pursuing growth on two fronts simultaneously — geographic expansion and product-format diversification.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Signed a fresh JDA for a 17-acre parcel on the Whitefield-Kannamangala corridor, East Bengaluru (announced 4 Aug) — ₹3,500 Cr GDV, 2.5+ msf saleable residential — on top of the ~₹5,000 Cr (₹50 billion) 3-year Sumadhura Infracon investment plan, ₹250 Cr twin-tower project, 40-acre pipeline (~₹6,000 Cr potential), Sumadhura Aikya (Soukya Road) and Panathur plotted foray already on file.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₹3,500 Cr / 17-acre Whitefield-Kannamangala JDA; ~₹5,000 Cr 3-year investment plan (Sumadhura Infracon);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pStyle w:val="ListParagraph"/>
        <w:numPr>
          <w:ilvl w:val="0"/>
          <w:numId w:val="2"/>
        </w:numPr>
        <w:spacing w:after="90"/>
      </w:pPr>
      <w:r>
        <w:rPr>
          <w:rFonts w:ascii="Calibri" w:cs="Calibri" w:eastAsia="Calibri" w:hAnsi="Calibri"/>
          <w:color w:val="1A1A1A"/>
          <w:sz w:val="19"/>
          <w:szCs w:val="19"/>
        </w:rPr>
        <w:t xml:space="preserve">With the B-Khata→A-Khata 2%-conversion window now just under two weeks from closing (23 Aug), fast-track conversion filings for any NBR-held or under-acquisition B-Khata parcels — this should be treated as a near-term legal-team deadline, not a background item.</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Separately, and unaffected by the leadership question, a Dec-2025 "Three-Account System" mandate requires developers to maintain three segregated project bank accounts with automated fund transfers and controlled withdrawals; Tamil Nadu's Registration Department is also rolling out "STAR 3.0" (Simplified and Transparent Administration of Registration), modernising registration services with more online options — layering onto the Jan 2026 guideline-value revision and 11% all-in stamp duty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Three-Account System is a compliance mechanic (not a governance question) that would apply to NBR immediately upon any Chennai project — factor its automated-transfer/controlled-withdrawal structure into cash-flow planning for any future TN entry, independent of the ongoing interim-panel situation. STAR 3.0's online-registration push is a minor efficiency positive worth noting but not yet actionable.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Alongside the ongoing legal battle (government appeal of the removal order, the separate Malkajgiri contempt proceeding, five IAS/IPS contempt notices, Section 22A land-freeze designations already on file), a distinct institutional-growth signal has emerged: representatives from several Telangana districts met Commissioner Ranganath directly on 12 Aug to formally request HYDRAA's mandate be expanded statewide to fight lake/land encroachments, rather than remain confined to the Hyderabad core region.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push for statewide expansion — arriving even as HYDRAA's leadership faces an active legal challenge — suggests grassroots/district-level institutional demand for its enforcement model may outlast the current commissioner dispute. If HYDRAA's mandate does expand beyond Hyderabad, NBR should treat any Telangana land diligence outside the current TCUR jurisdiction as a forward-looking watch item, not just a Hyderabad-specific concern.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officially launches the 21.77 km Amaravati Seed Access Road (E3) today — a 3-phase corridor with BRTS, dedicated cycle tracks, sidewalks, green belts and utility infrastructure, linking key locations across the capital region. This is a concrete infrastructure delivery milestone alongside the August 2028 Phase 1 completion target, the ongoing Gram Sabhas (Tadikonda/Mothadaka farmers agreed in principle; Kantheru still deciding), and the 20,494-acre acquisition breakdown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completed connectivity corridor (rather than just a target date or a pooling announcement) is the first tangible built-infrastructure evidence that Amaravati's capital build-out is actually progressing on the ground — worth noting as a positive signal if AP market entry is ever revisited, though land-pooling consent remains the more immediate watch item.</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is now drawing early political controversy: critics allege draft amendments to land-encroachment rules could effectively benefit illegal occupiers of government/assigned land and resort/commercial operators, rather than primarily protecting farmers as the initiative claims — a tension the 6-month expert committee will need to resolve before recommendations are finalised.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controversy is a reminder that Land Reforms 2.0's final shape is genuinely contested, not a settled pro-farmer reform — NBR's legal team should track which direction the expert committee leans before assuming any assignment-land conversion benefit, since a resort/encroachment-favouring outcome could just as easily tighten scrutiny on legitimate land transactions as a political counter-reaction.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District-level demand to expand HYDRAA statewide — arriving even as its leadership faces an active legal challenge — suggests the enforcement model has institutional staying power beyond the current commissioner dispute; if the mandate does expand, treat Telangana land diligence outside Hyderabad's core region as a forward-looking watch item. Section 22A land-freeze designations remain a distinct, separate Hyderabad diligence risk regardless of how the appeal resolves.</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TNRERA's Dec-2025 Three-Account System (segregated project bank accounts, automated transfers, controlled withdrawals) applies independent of the ongoing interim-panel situation — factor its cash-flow mechanics into any future Chennai project planning now, not just the governance-continuity risk.</w:t>
      </w:r>
    </w:p>
    <w:p>
      <w:pPr>
        <w:pStyle w:val="ListParagraph"/>
        <w:numPr>
          <w:ilvl w:val="0"/>
          <w:numId w:val="2"/>
        </w:numPr>
        <w:spacing w:after="90"/>
      </w:pPr>
      <w:r>
        <w:rPr>
          <w:rFonts w:ascii="Calibri" w:cs="Calibri" w:eastAsia="Calibri" w:hAnsi="Calibri"/>
          <w:color w:val="1A1A1A"/>
          <w:sz w:val="19"/>
          <w:szCs w:val="19"/>
        </w:rPr>
        <w:t xml:space="preserve">TNRERA is still operating under a 6-month interim panel (from 14 Jul 2026, following ex-chairperson Shiv Das Meena's resignation) — treat any TNRERA approval or registration sought during this window as subject to extra follow-up once permanent leadership is restored, if NBR ever pursues a Chennai entry or JV.</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Saturday, 15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2026-08-15T03:36:01.731Z</dcterms:created>
  <dcterms:modified xsi:type="dcterms:W3CDTF">2026-08-15T03:36:01.744Z</dcterms:modified>
</cp:coreProperties>
</file>

<file path=docProps/custom.xml><?xml version="1.0" encoding="utf-8"?>
<Properties xmlns="http://schemas.openxmlformats.org/officeDocument/2006/custom-properties" xmlns:vt="http://schemas.openxmlformats.org/officeDocument/2006/docPropsVTypes"/>
</file>