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2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Hoodi now commands a premium at ₹18,100 per sq ft with 18.2% appreciation, while Brookefield trades at ₹16,850 per sq ft (+10.9%) and Varthur at ₹13,650 per sq ft, reflecting sharp micro-market divergence along the Whitefield GCC corridor.</w:t>
      </w:r>
    </w:p>
    <w:p>
      <w:pPr>
        <w:pStyle w:val="ListParagraph"/>
        <w:numPr>
          <w:ilvl w:val="0"/>
          <w:numId w:val="2"/>
        </w:numPr>
        <w:spacing w:after="80"/>
      </w:pPr>
      <w:r>
        <w:rPr>
          <w:b w:val="false"/>
          <w:bCs w:val="false"/>
        </w:rPr>
        <w:t xml:space="preserve">The Gunjur-Varthur-Sarjapur Road belt is emerging as 2026's standout value corridor — typically 19-24% cheaper than core Whitefield while offering a stronger growth runway.</w:t>
      </w:r>
    </w:p>
    <w:p>
      <w:pPr>
        <w:pStyle w:val="ListParagraph"/>
        <w:numPr>
          <w:ilvl w:val="0"/>
          <w:numId w:val="2"/>
        </w:numPr>
        <w:spacing w:after="80"/>
      </w:pPr>
      <w:r>
        <w:rPr>
          <w:b w:val="false"/>
          <w:bCs w:val="false"/>
        </w:rPr>
        <w:t xml:space="preserve">Bengaluru's GCC boom is directly lifting property prices in Whitefield, Bellandur, Nagawara and Electronic City as new global offices anchor fresh residential demand nearby.</w:t>
      </w:r>
    </w:p>
    <w:p>
      <w:pPr>
        <w:spacing w:after="150"/>
      </w:pPr>
      <w:r>
        <w:rPr>
          <w:i/>
          <w:iCs/>
          <w:color w:val="595959"/>
          <w:sz w:val="18"/>
          <w:szCs w:val="18"/>
        </w:rPr>
        <w:t xml:space="preserve">Sources: SquareYards/LuxuryRoof (Hoodi, Brookefield, Varthur pricing); Abheeventures (Gunjur-Varthur-Sarjapur value corridor); Tradebrains (GCC-driven price impact).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Google has leased approximately 2.6 million sq ft at Alembic City, Infineon Technologies 6.32 lakh sq ft at Bagmane Solarium City, and Aon nearly 1.99 lakh sq ft at Vista Earth Centre — all within Whitefield in 2026.</w:t>
      </w:r>
    </w:p>
    <w:p>
      <w:pPr>
        <w:pStyle w:val="ListParagraph"/>
        <w:numPr>
          <w:ilvl w:val="0"/>
          <w:numId w:val="2"/>
        </w:numPr>
        <w:spacing w:after="80"/>
      </w:pPr>
      <w:r>
        <w:rPr>
          <w:b w:val="false"/>
          <w:bCs w:val="false"/>
        </w:rPr>
        <w:t xml:space="preserve">Target has signed a ₹1,250 crore Bengaluru office lease, further reinforcing GCC-driven demand for premium workspace in the city.</w:t>
      </w:r>
    </w:p>
    <w:p>
      <w:pPr>
        <w:pStyle w:val="ListParagraph"/>
        <w:numPr>
          <w:ilvl w:val="0"/>
          <w:numId w:val="2"/>
        </w:numPr>
        <w:spacing w:after="80"/>
      </w:pPr>
      <w:r>
        <w:rPr>
          <w:b w:val="false"/>
          <w:bCs w:val="false"/>
        </w:rPr>
        <w:t xml:space="preserve">More than 110 GCCs are now operational across the Whitefield-Brookefield-EPIP corridor, which captured nearly 48% of all new Bengaluru office space leased in Q1 2026 alone.</w:t>
      </w:r>
    </w:p>
    <w:p>
      <w:pPr>
        <w:spacing w:after="150"/>
      </w:pPr>
      <w:r>
        <w:rPr>
          <w:i/>
          <w:iCs/>
          <w:color w:val="595959"/>
          <w:sz w:val="18"/>
          <w:szCs w:val="18"/>
        </w:rPr>
        <w:t xml:space="preserve">Sources: CIO Elets/Purple Realty (Google, Infineon, Aon Whitefield leases); The Flex Insights (Target office lease); Purple Realty (GCC count, Q1 2026 leasing share).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has seen roughly 2,600+ project registrations lapse in early 2026 due to non-renewal or missed disclosure filings, removing them from the active portal and exposing existing buyers to limited recourse.</w:t>
      </w:r>
    </w:p>
    <w:p>
      <w:pPr>
        <w:pStyle w:val="ListParagraph"/>
        <w:numPr>
          <w:ilvl w:val="0"/>
          <w:numId w:val="2"/>
        </w:numPr>
        <w:spacing w:after="80"/>
      </w:pPr>
      <w:r>
        <w:rPr>
          <w:b w:val="false"/>
          <w:bCs w:val="false"/>
        </w:rPr>
        <w:t xml:space="preserve">The regulator disclosed an 80% disposal rate on more than 12,000 buyer complaints, making it the second-most active state RERA in the country after Maharashtra's.</w:t>
      </w:r>
    </w:p>
    <w:p>
      <w:pPr>
        <w:pStyle w:val="ListParagraph"/>
        <w:numPr>
          <w:ilvl w:val="0"/>
          <w:numId w:val="2"/>
        </w:numPr>
        <w:spacing w:after="80"/>
      </w:pPr>
      <w:r>
        <w:rPr>
          <w:b w:val="false"/>
          <w:bCs w:val="false"/>
        </w:rPr>
        <w:t xml:space="preserve">CREDAI Karnataka is likely to view K-RERA's stepped-up scrutiny of quarterly progress disclosures and project-registration renewals as a necessary tightening even as it raises compliance costs for smaller developers.</w:t>
      </w:r>
    </w:p>
    <w:p>
      <w:pPr>
        <w:spacing w:after="150"/>
      </w:pPr>
      <w:r>
        <w:rPr>
          <w:i/>
          <w:iCs/>
          <w:color w:val="595959"/>
          <w:sz w:val="18"/>
          <w:szCs w:val="18"/>
        </w:rPr>
        <w:t xml:space="preserve">Sources: PropNewz (K-RERA 2026 enforcement crackdown, lapsed registrations, complaint disposal rate).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TNRERA received 5,423 project-registration applications between 1 January and 15 September 2026, of which 3,251 were registered and 1,199 were returned for incomplete documentation.</w:t>
      </w:r>
    </w:p>
    <w:p>
      <w:pPr>
        <w:pStyle w:val="ListParagraph"/>
        <w:numPr>
          <w:ilvl w:val="0"/>
          <w:numId w:val="2"/>
        </w:numPr>
        <w:spacing w:after="80"/>
      </w:pPr>
      <w:r>
        <w:rPr>
          <w:b w:val="false"/>
          <w:bCs w:val="false"/>
        </w:rPr>
        <w:t xml:space="preserve">Chennai's real estate market continued growing through Q1 2026, with positive momentum in both office and residential segments even as the retail sector lagged, posting a 19% YoY decline.</w:t>
      </w:r>
    </w:p>
    <w:p>
      <w:pPr>
        <w:pStyle w:val="ListParagraph"/>
        <w:numPr>
          <w:ilvl w:val="0"/>
          <w:numId w:val="2"/>
        </w:numPr>
        <w:spacing w:after="80"/>
      </w:pPr>
      <w:r>
        <w:rPr>
          <w:b w:val="false"/>
          <w:bCs w:val="false"/>
        </w:rPr>
        <w:t xml:space="preserve">Tamil Nadu's 2026 budget announced the "My Home" affordable housing scheme alongside an AI-powered urban masterplan, aimed at boosting residential supply and planning quality statewide.</w:t>
      </w:r>
    </w:p>
    <w:p>
      <w:pPr>
        <w:spacing w:after="150"/>
      </w:pPr>
      <w:r>
        <w:rPr>
          <w:i/>
          <w:iCs/>
          <w:color w:val="595959"/>
          <w:sz w:val="18"/>
          <w:szCs w:val="18"/>
        </w:rPr>
        <w:t xml:space="preserve">Sources: Verified Real Estate Community (TNRERA registration data, Jan-Sep 2026); Valuerealitty (Chennai Q1 2026 sector performance); Verified Real Estate Community (TN Budget 2026 housing scheme).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TNRERA is tightening layout-registration norms, now requiring geo-tagged photographs of completed infrastructure and stricter matching between land records, approved plans and on-ground construction.</w:t>
      </w:r>
    </w:p>
    <w:p>
      <w:pPr>
        <w:pStyle w:val="ListParagraph"/>
        <w:numPr>
          <w:ilvl w:val="0"/>
          <w:numId w:val="2"/>
        </w:numPr>
        <w:spacing w:after="80"/>
      </w:pPr>
      <w:r>
        <w:rPr>
          <w:b w:val="false"/>
          <w:bCs w:val="false"/>
        </w:rPr>
        <w:t xml:space="preserve">Tamil Nadu's 2026 budget allocated ₹21,524 crore for highways and major road projects, a substantial infrastructure push expected to support real estate growth across the state.</w:t>
      </w:r>
    </w:p>
    <w:p>
      <w:pPr>
        <w:pStyle w:val="ListParagraph"/>
        <w:numPr>
          <w:ilvl w:val="0"/>
          <w:numId w:val="2"/>
        </w:numPr>
        <w:spacing w:after="80"/>
      </w:pPr>
      <w:r>
        <w:rPr>
          <w:b w:val="false"/>
          <w:bCs w:val="false"/>
        </w:rPr>
        <w:t xml:space="preserve">Chennai's retail sector's 19% YoY decline in Q1 2026 contrasts with continued strength in office and residential segments, reflecting an uneven recovery across the city's commercial asset classes.</w:t>
      </w:r>
    </w:p>
    <w:p>
      <w:pPr>
        <w:spacing w:after="150"/>
      </w:pPr>
      <w:r>
        <w:rPr>
          <w:i/>
          <w:iCs/>
          <w:color w:val="595959"/>
          <w:sz w:val="18"/>
          <w:szCs w:val="18"/>
        </w:rPr>
        <w:t xml:space="preserve">Sources: Verified Real Estate Community (TNRERA layout norms, TN Budget 2026 road allocation); Valuerealitty.</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TNRERA's tightened layout-registration norms — including geo-tagged infrastructure verification — are likely to be welcomed by CREDAI Tamil Nadu as a mechanism to weed out non-compliant developers even as it adds documentation burden.</w:t>
      </w:r>
    </w:p>
    <w:p>
      <w:pPr>
        <w:pStyle w:val="ListParagraph"/>
        <w:numPr>
          <w:ilvl w:val="0"/>
          <w:numId w:val="2"/>
        </w:numPr>
        <w:spacing w:after="80"/>
      </w:pPr>
      <w:r>
        <w:rPr>
          <w:b w:val="false"/>
          <w:bCs w:val="false"/>
        </w:rPr>
        <w:t xml:space="preserve">With 1,199 applications returned for incomplete documents year-to-date, CREDAI Tamil Nadu members face growing pressure to tighten internal compliance processes before submission.</w:t>
      </w:r>
    </w:p>
    <w:p>
      <w:pPr>
        <w:pStyle w:val="ListParagraph"/>
        <w:numPr>
          <w:ilvl w:val="0"/>
          <w:numId w:val="2"/>
        </w:numPr>
        <w:spacing w:after="80"/>
      </w:pPr>
      <w:r>
        <w:rPr>
          <w:b w:val="false"/>
          <w:bCs w:val="false"/>
        </w:rPr>
        <w:t xml:space="preserve">Tamil Nadu's ₹21,524 crore road-infrastructure allocation and the My Home affordable housing scheme give CREDAI Tamil Nadu fresh policy tailwinds to cite when advocating for faster project approvals statewide.</w:t>
      </w:r>
    </w:p>
    <w:p>
      <w:pPr>
        <w:spacing w:after="150"/>
      </w:pPr>
      <w:r>
        <w:rPr>
          <w:i/>
          <w:iCs/>
          <w:color w:val="595959"/>
          <w:sz w:val="18"/>
          <w:szCs w:val="18"/>
        </w:rPr>
        <w:t xml:space="preserve">Sources: Verified Real Estate Community.</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listed REIT market has grown more than six-fold since FY20, from ₹27,100 crore in 2019-20 to ₹1.72 lakh crore in the first nine months of FY26, reflecting deepening institutional participation in real estate.</w:t>
      </w:r>
    </w:p>
    <w:p>
      <w:pPr>
        <w:pStyle w:val="ListParagraph"/>
        <w:numPr>
          <w:ilvl w:val="0"/>
          <w:numId w:val="2"/>
        </w:numPr>
        <w:spacing w:after="80"/>
      </w:pPr>
      <w:r>
        <w:rPr>
          <w:b w:val="false"/>
          <w:bCs w:val="false"/>
        </w:rPr>
        <w:t xml:space="preserve">Embassy Office Parks REIT, India's largest with 51 million sq ft across Bengaluru, Mumbai, Pune, NCR and Chennai, posted roughly 92% occupancy and declared a Q3 FY26 dividend of ₹6.47 per unit — a 5.32% yield.</w:t>
      </w:r>
    </w:p>
    <w:p>
      <w:pPr>
        <w:pStyle w:val="ListParagraph"/>
        <w:numPr>
          <w:ilvl w:val="0"/>
          <w:numId w:val="2"/>
        </w:numPr>
        <w:spacing w:after="80"/>
      </w:pPr>
      <w:r>
        <w:rPr>
          <w:b w:val="false"/>
          <w:bCs w:val="false"/>
        </w:rPr>
        <w:t xml:space="preserve">Continued residential demand nationally is increasingly intertwined with commercial real estate performance, as REIT-backed office portfolios post steady occupancy and distributions even amid broader market normalisation.</w:t>
      </w:r>
    </w:p>
    <w:p>
      <w:pPr>
        <w:spacing w:after="150"/>
      </w:pPr>
      <w:r>
        <w:rPr>
          <w:i/>
          <w:iCs/>
          <w:color w:val="595959"/>
          <w:sz w:val="18"/>
          <w:szCs w:val="18"/>
        </w:rPr>
        <w:t xml:space="preserve">Sources: Newkerala/CBRE (India REIT market six-fold growth); Business Standard (Embassy REIT occupancy and dividend).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operational office REIT portfolio reached 167 million sq ft in H1 2026, accounting for 16% of the country's 1.05 billion sq ft total office stock.</w:t>
      </w:r>
    </w:p>
    <w:p>
      <w:pPr>
        <w:pStyle w:val="ListParagraph"/>
        <w:numPr>
          <w:ilvl w:val="0"/>
          <w:numId w:val="2"/>
        </w:numPr>
        <w:spacing w:after="80"/>
      </w:pPr>
      <w:r>
        <w:rPr>
          <w:b w:val="false"/>
          <w:bCs w:val="false"/>
        </w:rPr>
        <w:t xml:space="preserve">Five listed REITs now operate in India — Brookfield India Real Estate Trust, Embassy Office Parks REIT, Mindspace Business Parks REIT, Nexus Select Trust and Knowledge Realty Trust — with Nexus anchored in retail and the rest in office assets.</w:t>
      </w:r>
    </w:p>
    <w:p>
      <w:pPr>
        <w:pStyle w:val="ListParagraph"/>
        <w:numPr>
          <w:ilvl w:val="0"/>
          <w:numId w:val="2"/>
        </w:numPr>
        <w:spacing w:after="80"/>
      </w:pPr>
      <w:r>
        <w:rPr>
          <w:b w:val="false"/>
          <w:bCs w:val="false"/>
        </w:rPr>
        <w:t xml:space="preserve">India's operational retail REIT portfolio comprises 10.7 million sq ft under Nexus Select Trust and a further 0.4 million sq ft under Brookfield, reflecting a still-nascent but growing retail REIT segment nationally.</w:t>
      </w:r>
    </w:p>
    <w:p>
      <w:pPr>
        <w:spacing w:after="150"/>
      </w:pPr>
      <w:r>
        <w:rPr>
          <w:i/>
          <w:iCs/>
          <w:color w:val="595959"/>
          <w:sz w:val="18"/>
          <w:szCs w:val="18"/>
        </w:rPr>
        <w:t xml:space="preserve">Sources: Business Standard (office REIT portfolio size, listed REIT roster, retail REIT portfolio).</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cite the REIT market's six-fold growth since FY20 as validation of continued institutional confidence in India's real estate sector.</w:t>
      </w:r>
    </w:p>
    <w:p>
      <w:pPr>
        <w:pStyle w:val="ListParagraph"/>
        <w:numPr>
          <w:ilvl w:val="0"/>
          <w:numId w:val="2"/>
        </w:numPr>
        <w:spacing w:after="80"/>
      </w:pPr>
      <w:r>
        <w:rPr>
          <w:b w:val="false"/>
          <w:bCs w:val="false"/>
        </w:rPr>
        <w:t xml:space="preserve">The emergence of Knowledge Realty Trust as India's fifth listed REIT is expected to be viewed positively by CREDAI and NAREDCO as further evidence of capital-market deepening across the sector.</w:t>
      </w:r>
    </w:p>
    <w:p>
      <w:pPr>
        <w:pStyle w:val="ListParagraph"/>
        <w:numPr>
          <w:ilvl w:val="0"/>
          <w:numId w:val="2"/>
        </w:numPr>
        <w:spacing w:after="80"/>
      </w:pPr>
      <w:r>
        <w:rPr>
          <w:b w:val="false"/>
          <w:bCs w:val="false"/>
        </w:rPr>
        <w:t xml:space="preserve">Continued strong REIT occupancy and distributions, led by Embassy's roughly 92% occupancy and 5.32% yield, reinforces CREDAI and NAREDCO's case for continued policy support of REIT-linked institutional real estate investment nationally.</w:t>
      </w:r>
    </w:p>
    <w:p>
      <w:pPr>
        <w:spacing w:after="150"/>
      </w:pPr>
      <w:r>
        <w:rPr>
          <w:i/>
          <w:iCs/>
          <w:color w:val="595959"/>
          <w:sz w:val="18"/>
          <w:szCs w:val="18"/>
        </w:rPr>
        <w:t xml:space="preserve">Sources: Newkerala/CBRE; Business Standard.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2026-10-02T03:37:54.950Z</dcterms:created>
  <dcterms:modified xsi:type="dcterms:W3CDTF">2026-10-02T03:37:54.965Z</dcterms:modified>
</cp:coreProperties>
</file>

<file path=docProps/custom.xml><?xml version="1.0" encoding="utf-8"?>
<Properties xmlns="http://schemas.openxmlformats.org/officeDocument/2006/custom-properties" xmlns:vt="http://schemas.openxmlformats.org/officeDocument/2006/docPropsVTypes"/>
</file>