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Wednesday, 21 October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Jigani is shifting from an industrial fringe area toward branded residential development, pulled by its proximity to Electronic City and Bommasandra, per a May 2026 market review.</w:t>
      </w:r>
    </w:p>
    <w:p>
      <w:pPr>
        <w:pStyle w:val="ListParagraph"/>
        <w:numPr>
          <w:ilvl w:val="0"/>
          <w:numId w:val="2"/>
        </w:numPr>
        <w:spacing w:after="80"/>
      </w:pPr>
      <w:r>
        <w:rPr>
          <w:b w:val="false"/>
          <w:bCs w:val="false"/>
        </w:rPr>
        <w:t xml:space="preserve">Salarpuria Sattva's new Jigani launch comprises three 100-metre towers with 432 apartments, with 2-BHK units priced from roughly ₹85 lakh and possession targeted around 2030 once K-RERA filing is completed.</w:t>
      </w:r>
    </w:p>
    <w:p>
      <w:pPr>
        <w:pStyle w:val="ListParagraph"/>
        <w:numPr>
          <w:ilvl w:val="0"/>
          <w:numId w:val="2"/>
        </w:numPr>
        <w:spacing w:after="80"/>
      </w:pPr>
      <w:r>
        <w:rPr>
          <w:b w:val="false"/>
          <w:bCs w:val="false"/>
        </w:rPr>
        <w:t xml:space="preserve">Puravankara signed a joint development agreement for a 6.4-acre site in Sarjapur with an estimated gross development value of ₹1,000 crore and roughly 0.8 million sq ft of residential space, part of cumulative Q1 FY27 land additions reaching an estimated ₹5,200 crore across four transactions.</w:t>
      </w:r>
    </w:p>
    <w:p>
      <w:pPr>
        <w:spacing w:after="150"/>
      </w:pPr>
      <w:r>
        <w:rPr>
          <w:i/>
          <w:iCs/>
          <w:color w:val="595959"/>
          <w:sz w:val="18"/>
          <w:szCs w:val="18"/>
        </w:rPr>
        <w:t xml:space="preserve">Sources: PropNewz (Salarpuria Sattva Jigani launch review); Motilal Oswal/Deccan Herald (Puravankara Sarjapur JDA, Q1 FY27 land additions).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The Karnataka Housing Board has started a Swami Vivekananda Nagar public housing project near Jigani, which is expected to lift overall residential demand in the corridor.</w:t>
      </w:r>
    </w:p>
    <w:p>
      <w:pPr>
        <w:pStyle w:val="ListParagraph"/>
        <w:numPr>
          <w:ilvl w:val="0"/>
          <w:numId w:val="2"/>
        </w:numPr>
        <w:spacing w:after="80"/>
      </w:pPr>
      <w:r>
        <w:rPr>
          <w:b w:val="false"/>
          <w:bCs w:val="false"/>
        </w:rPr>
        <w:t xml:space="preserve">The NICE corridor linking Jigani to Electronic City and Bommasandra continues to be cited as the key infrastructure driver supporting the belt's transition from industrial to residential use.</w:t>
      </w:r>
    </w:p>
    <w:p>
      <w:pPr>
        <w:pStyle w:val="ListParagraph"/>
        <w:numPr>
          <w:ilvl w:val="0"/>
          <w:numId w:val="2"/>
        </w:numPr>
        <w:spacing w:after="80"/>
      </w:pPr>
      <w:r>
        <w:rPr>
          <w:b w:val="false"/>
          <w:bCs w:val="false"/>
        </w:rPr>
        <w:t xml:space="preserve">Continued institutional land-banking activity from Puravankara and other major developers reinforces the Sarjapur-Jigani belt's standing as one of South Bengaluru's primary growth corridors for new residential supply.</w:t>
      </w:r>
    </w:p>
    <w:p>
      <w:pPr>
        <w:spacing w:after="150"/>
      </w:pPr>
      <w:r>
        <w:rPr>
          <w:i/>
          <w:iCs/>
          <w:color w:val="595959"/>
          <w:sz w:val="18"/>
          <w:szCs w:val="18"/>
        </w:rPr>
        <w:t xml:space="preserve">Sources: Homes247 (Karnataka Housing Board Swami Vivekananda Nagar project); 1acre (NICE corridor infrastructure); Motilal Oswal (Puravankara land-banking activity).</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The Bannerghatta eco-sensitive zone has been reduced from 268.9 sq km under a 2016 notification to 169 sq km under a 2018 draft notification, a reduction that has been legally challenged by environmental activists.</w:t>
      </w:r>
    </w:p>
    <w:p>
      <w:pPr>
        <w:pStyle w:val="ListParagraph"/>
        <w:numPr>
          <w:ilvl w:val="0"/>
          <w:numId w:val="2"/>
        </w:numPr>
        <w:spacing w:after="80"/>
      </w:pPr>
      <w:r>
        <w:rPr>
          <w:b w:val="false"/>
          <w:bCs w:val="false"/>
        </w:rPr>
        <w:t xml:space="preserve">A 2022 Supreme Court ruling sets a minimum 1 km buffer zone around protected areas nationally, a regulatory constraint that continues to create uncertainty for land parcels near Bannerghatta and the adjoining Jigani corridor.</w:t>
      </w:r>
    </w:p>
    <w:p>
      <w:pPr>
        <w:pStyle w:val="ListParagraph"/>
        <w:numPr>
          <w:ilvl w:val="0"/>
          <w:numId w:val="2"/>
        </w:numPr>
        <w:spacing w:after="80"/>
      </w:pPr>
      <w:r>
        <w:rPr>
          <w:b w:val="false"/>
          <w:bCs w:val="false"/>
        </w:rPr>
        <w:t xml:space="preserve">CREDAI Karnataka members developing in the Bannerghatta-Jigani belt are likely to continue advising buyers and investors to verify a parcel's eco-sensitive-zone status and buffer-zone compliance before purchase, given the unresolved legal challenge.</w:t>
      </w:r>
    </w:p>
    <w:p>
      <w:pPr>
        <w:spacing w:after="150"/>
      </w:pPr>
      <w:r>
        <w:rPr>
          <w:i/>
          <w:iCs/>
          <w:color w:val="595959"/>
          <w:sz w:val="18"/>
          <w:szCs w:val="18"/>
        </w:rPr>
        <w:t xml:space="preserve">Sources: 1acre (Bannerghatta eco-sensitive zone notification history, 2022 Supreme Court buffer-zone ruling).</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Coimbatore-based developer Adissia is expanding into Trichy, Madurai and Tirunelveli, targeting roughly ₹1,000 crore in revenue within two years as part of a broader push into tier-2 Tamil Nadu beyond Chennai.</w:t>
      </w:r>
    </w:p>
    <w:p>
      <w:pPr>
        <w:pStyle w:val="ListParagraph"/>
        <w:numPr>
          <w:ilvl w:val="0"/>
          <w:numId w:val="2"/>
        </w:numPr>
        <w:spacing w:after="80"/>
      </w:pPr>
      <w:r>
        <w:rPr>
          <w:b w:val="false"/>
          <w:bCs w:val="false"/>
        </w:rPr>
        <w:t xml:space="preserve">In Trichy, the Srirangam-Cantonment outskirts area shows the most concentrated residential demand, with the city's property market anchored by heavy engineering and public-sector employment rather than IT.</w:t>
      </w:r>
    </w:p>
    <w:p>
      <w:pPr>
        <w:pStyle w:val="ListParagraph"/>
        <w:numPr>
          <w:ilvl w:val="0"/>
          <w:numId w:val="2"/>
        </w:numPr>
        <w:spacing w:after="80"/>
      </w:pPr>
      <w:r>
        <w:rPr>
          <w:b w:val="false"/>
          <w:bCs w:val="false"/>
        </w:rPr>
        <w:t xml:space="preserve">Tamil Nadu's tier-2 cities are increasingly drawing developer attention as investors look beyond Chennai for growth, even as these markets remain less liquid and less data-rich than the state capital.</w:t>
      </w:r>
    </w:p>
    <w:p>
      <w:pPr>
        <w:spacing w:after="150"/>
      </w:pPr>
      <w:r>
        <w:rPr>
          <w:i/>
          <w:iCs/>
          <w:color w:val="595959"/>
          <w:sz w:val="18"/>
          <w:szCs w:val="18"/>
        </w:rPr>
        <w:t xml:space="preserve">Sources: Medianews4u (Adissia Tamil Nadu expansion plan); Housing.com (Tiruchirappalli market overview); Verified.RealEstate (2026 outlook on fast-growing Tamil Nadu locations beyond Chennai).</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The Coimbatore Metro Rail remains targeted for completion by 2027, continuing to serve as a key anticipated infrastructure catalyst for the broader western Tamil Nadu real estate corridor.</w:t>
      </w:r>
    </w:p>
    <w:p>
      <w:pPr>
        <w:pStyle w:val="ListParagraph"/>
        <w:numPr>
          <w:ilvl w:val="0"/>
          <w:numId w:val="2"/>
        </w:numPr>
        <w:spacing w:after="80"/>
      </w:pPr>
      <w:r>
        <w:rPr>
          <w:b w:val="false"/>
          <w:bCs w:val="false"/>
        </w:rPr>
        <w:t xml:space="preserve">Adissia's multi-city expansion into Trichy, Madurai and Tirunelveli reflects growing mid-sized developer confidence in tier-2 Tamil Nadu markets that have historically been underserved by branded residential supply.</w:t>
      </w:r>
    </w:p>
    <w:p>
      <w:pPr>
        <w:pStyle w:val="ListParagraph"/>
        <w:numPr>
          <w:ilvl w:val="0"/>
          <w:numId w:val="2"/>
        </w:numPr>
        <w:spacing w:after="80"/>
      </w:pPr>
      <w:r>
        <w:rPr>
          <w:b w:val="false"/>
          <w:bCs w:val="false"/>
        </w:rPr>
        <w:t xml:space="preserve">Continued heavy-engineering and public-sector employment concentration in cities like Trichy is expected to sustain steady, if less dramatic, commercial and residential demand growth relative to IT-driven corridors like Chennai's OMR.</w:t>
      </w:r>
    </w:p>
    <w:p>
      <w:pPr>
        <w:spacing w:after="150"/>
      </w:pPr>
      <w:r>
        <w:rPr>
          <w:i/>
          <w:iCs/>
          <w:color w:val="595959"/>
          <w:sz w:val="18"/>
          <w:szCs w:val="18"/>
        </w:rPr>
        <w:t xml:space="preserve">Sources: Medianews4u (Coimbatore Metro Rail timeline reference); Housing.com; Verified.RealEstate.</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CREDAI Tamil Nadu is likely to view Adissia's and other mid-sized developers' expansion into Trichy, Madurai and Tirunelveli as validating demand beyond Chennai, supporting the state's broader tier-2 growth strategy.</w:t>
      </w:r>
    </w:p>
    <w:p>
      <w:pPr>
        <w:pStyle w:val="ListParagraph"/>
        <w:numPr>
          <w:ilvl w:val="0"/>
          <w:numId w:val="2"/>
        </w:numPr>
        <w:spacing w:after="80"/>
      </w:pPr>
      <w:r>
        <w:rPr>
          <w:b w:val="false"/>
          <w:bCs w:val="false"/>
        </w:rPr>
        <w:t xml:space="preserve">As more mid-sized developers enter these less-established markets, CREDAI Tamil Nadu is expected to continue emphasising RERA registration compliance to maintain buyer confidence as the tier-2 pipeline scales up.</w:t>
      </w:r>
    </w:p>
    <w:p>
      <w:pPr>
        <w:pStyle w:val="ListParagraph"/>
        <w:numPr>
          <w:ilvl w:val="0"/>
          <w:numId w:val="2"/>
        </w:numPr>
        <w:spacing w:after="80"/>
      </w:pPr>
      <w:r>
        <w:rPr>
          <w:b w:val="false"/>
          <w:bCs w:val="false"/>
        </w:rPr>
        <w:t xml:space="preserve">With Trichy and Madurai's markets remaining comparatively data-sparse versus Chennai, CREDAI Tamil Nadu members are likely to push for more consistent regional data reporting as developer activity in these cities increases.</w:t>
      </w:r>
    </w:p>
    <w:p>
      <w:pPr>
        <w:spacing w:after="150"/>
      </w:pPr>
      <w:r>
        <w:rPr>
          <w:i/>
          <w:iCs/>
          <w:color w:val="595959"/>
          <w:sz w:val="18"/>
          <w:szCs w:val="18"/>
        </w:rPr>
        <w:t xml:space="preserve">Sources: Medianews4u; Housing.com; Verified.RealEstate.</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Square Yards' Senior Living Report 2026 projects India's senior-living real estate market to reach $11.43 billion by 2031, with the population aged 60 and above projected to grow from 143 million in 2021 to nearly 230 million by 2036.</w:t>
      </w:r>
    </w:p>
    <w:p>
      <w:pPr>
        <w:pStyle w:val="ListParagraph"/>
        <w:numPr>
          <w:ilvl w:val="0"/>
          <w:numId w:val="2"/>
        </w:numPr>
        <w:spacing w:after="80"/>
      </w:pPr>
      <w:r>
        <w:rPr>
          <w:b w:val="false"/>
          <w:bCs w:val="false"/>
        </w:rPr>
        <w:t xml:space="preserve">HDFC Capital and Primus Senior Living have launched a ₹2,000 crore platform to develop senior housing across six major Indian cities, using a mix of ownership and rental models.</w:t>
      </w:r>
    </w:p>
    <w:p>
      <w:pPr>
        <w:pStyle w:val="ListParagraph"/>
        <w:numPr>
          <w:ilvl w:val="0"/>
          <w:numId w:val="2"/>
        </w:numPr>
        <w:spacing w:after="80"/>
      </w:pPr>
      <w:r>
        <w:rPr>
          <w:b w:val="false"/>
          <w:bCs w:val="false"/>
        </w:rPr>
        <w:t xml:space="preserve">JLL data shows India had only 22,157 organised senior-living units as of June 2025, highlighting a wide and persistent gap between the country's rapidly ageing population and its formal senior-housing supply.</w:t>
      </w:r>
    </w:p>
    <w:p>
      <w:pPr>
        <w:spacing w:after="150"/>
      </w:pPr>
      <w:r>
        <w:rPr>
          <w:i/>
          <w:iCs/>
          <w:color w:val="595959"/>
          <w:sz w:val="18"/>
          <w:szCs w:val="18"/>
        </w:rPr>
        <w:t xml:space="preserve">Sources: Outlookmoney/Square Yards (Senior Living Report 2026 market projection, demographic data); Newkerala/JLL (HDFC Capital-Primus Senior Living platform, organised senior-living unit count).</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Knight Frank reports that institutional investment in Asia-Pacific's "living sector" (encompassing senior living, student housing and co-living) has tripled to $21 billion, with India's student-housing segment emerging as a prime long-term opportunity within that wave.</w:t>
      </w:r>
    </w:p>
    <w:p>
      <w:pPr>
        <w:pStyle w:val="ListParagraph"/>
        <w:numPr>
          <w:ilvl w:val="0"/>
          <w:numId w:val="2"/>
        </w:numPr>
        <w:spacing w:after="80"/>
      </w:pPr>
      <w:r>
        <w:rPr>
          <w:b w:val="false"/>
          <w:bCs w:val="false"/>
        </w:rPr>
        <w:t xml:space="preserve">India's tertiary student population is projected to cross 70 million by 2035 based on the government's 50% gross enrolment ratio target, a demographic tailwind HDFC Capital is also targeting through expansion into student accommodation.</w:t>
      </w:r>
    </w:p>
    <w:p>
      <w:pPr>
        <w:pStyle w:val="ListParagraph"/>
        <w:numPr>
          <w:ilvl w:val="0"/>
          <w:numId w:val="2"/>
        </w:numPr>
        <w:spacing w:after="80"/>
      </w:pPr>
      <w:r>
        <w:rPr>
          <w:b w:val="false"/>
          <w:bCs w:val="false"/>
        </w:rPr>
        <w:t xml:space="preserve">The organised co-living market remains comparatively under-measured, though Knight Frank expects sustained institutional interest in co-living alongside senior housing and student accommodation despite short-term investment fluctuations.</w:t>
      </w:r>
    </w:p>
    <w:p>
      <w:pPr>
        <w:spacing w:after="150"/>
      </w:pPr>
      <w:r>
        <w:rPr>
          <w:i/>
          <w:iCs/>
          <w:color w:val="595959"/>
          <w:sz w:val="18"/>
          <w:szCs w:val="18"/>
        </w:rPr>
        <w:t xml:space="preserve">Sources: Newkerala/Knight Frank (APAC living-sector investment, India student-housing opportunity); HDFC Capital (student accommodation expansion).</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CREDAI and NAREDCO are likely to cite the ₹2,000 crore HDFC Capital-Primus Senior Living platform and tripling of APAC living-sector investment as validation of senior housing, student accommodation and co-living as an emerging institutional-grade asset class.</w:t>
      </w:r>
    </w:p>
    <w:p>
      <w:pPr>
        <w:pStyle w:val="ListParagraph"/>
        <w:numPr>
          <w:ilvl w:val="0"/>
          <w:numId w:val="2"/>
        </w:numPr>
        <w:spacing w:after="80"/>
      </w:pPr>
      <w:r>
        <w:rPr>
          <w:b w:val="false"/>
          <w:bCs w:val="false"/>
        </w:rPr>
        <w:t xml:space="preserve">With organised senior-living supply at just 22,157 units against a 60-plus population set to approach 230 million by 2036, CREDAI and NAREDCO are expected to continue pressing for dedicated zoning and policy support for senior housing nationally.</w:t>
      </w:r>
    </w:p>
    <w:p>
      <w:pPr>
        <w:pStyle w:val="ListParagraph"/>
        <w:numPr>
          <w:ilvl w:val="0"/>
          <w:numId w:val="2"/>
        </w:numPr>
        <w:spacing w:after="80"/>
      </w:pPr>
      <w:r>
        <w:rPr>
          <w:b w:val="false"/>
          <w:bCs w:val="false"/>
        </w:rPr>
        <w:t xml:space="preserve">As student housing and co-living draw growing institutional capital alongside traditional asset classes, CREDAI and NAREDCO's advocacy agenda is likely to expand to cover regulatory and RERA-registration frameworks specific to these emerging living-sector formats.</w:t>
      </w:r>
    </w:p>
    <w:p>
      <w:pPr>
        <w:spacing w:after="150"/>
      </w:pPr>
      <w:r>
        <w:rPr>
          <w:i/>
          <w:iCs/>
          <w:color w:val="595959"/>
          <w:sz w:val="18"/>
          <w:szCs w:val="18"/>
        </w:rPr>
        <w:t xml:space="preserve">Sources: Outlookmoney/Square Yards; Newkerala/JLL; Newkerala/Knight Frank.</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2026-10-21T03:36:30.686Z</dcterms:created>
  <dcterms:modified xsi:type="dcterms:W3CDTF">2026-10-21T03:36:30.700Z</dcterms:modified>
</cp:coreProperties>
</file>

<file path=docProps/custom.xml><?xml version="1.0" encoding="utf-8"?>
<Properties xmlns="http://schemas.openxmlformats.org/officeDocument/2006/custom-properties" xmlns:vt="http://schemas.openxmlformats.org/officeDocument/2006/docPropsVTypes"/>
</file>