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Monday, 31 August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Bengaluru's average residential price stood at ₹12,100 per sq ft as of August 2026, up a modest 0.48% YoY, with East Bengaluru the priciest micro-market at ₹13,750/sq ft, followed by Central at ₹13,450/sq ft, while South and North/West Bengaluru offer relative value at ₹11,150–11,300/sq ft.</w:t>
      </w:r>
    </w:p>
    <w:p>
      <w:pPr>
        <w:pStyle w:val="ListParagraph"/>
        <w:numPr>
          <w:ilvl w:val="0"/>
          <w:numId w:val="2"/>
        </w:numPr>
        <w:spacing w:after="80"/>
      </w:pPr>
      <w:r>
        <w:rPr>
          <w:b w:val="false"/>
          <w:bCs w:val="false"/>
        </w:rPr>
        <w:t xml:space="preserve">Bengaluru has overtaken Mumbai in unsold housing inventory for the first time, with approximately 84,000 unsold units on the books at the end of the June quarter, even as the city posted a record H1 2026 with over 25,000 new launches.</w:t>
      </w:r>
    </w:p>
    <w:p>
      <w:pPr>
        <w:pStyle w:val="ListParagraph"/>
        <w:numPr>
          <w:ilvl w:val="0"/>
          <w:numId w:val="2"/>
        </w:numPr>
        <w:spacing w:after="80"/>
      </w:pPr>
      <w:r>
        <w:rPr>
          <w:b w:val="false"/>
          <w:bCs w:val="false"/>
        </w:rPr>
        <w:t xml:space="preserve">Q2 2026 alone saw 12,544 new residential launches (up 4% YoY), with the South submarket leading at a 38% share, North submarket at 28%, and East at 26% — underscoring how launch supply is beginning to outpace absorption in several corridors.</w:t>
      </w:r>
    </w:p>
    <w:p>
      <w:pPr>
        <w:spacing w:after="150"/>
      </w:pPr>
      <w:r>
        <w:rPr>
          <w:i/>
          <w:iCs/>
          <w:color w:val="595959"/>
          <w:sz w:val="18"/>
          <w:szCs w:val="18"/>
        </w:rPr>
        <w:t xml:space="preserve">Sources: SquareYards (Aug 2026 pricing, micro-market breakdown); Business Standard/Deccan Herald (unsold inventory overtaking Mumbai); OneCityProperty (Q2 2026 launch-share by submarket).</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Bengaluru's warehouse leasing surged 78% YoY to 3.1 million sq ft in H1 2026 — the fastest growth among India's top eight logistics markets — with the western corridor (Nelamangala, Dabaspete) capturing 52% of total leasing.</w:t>
      </w:r>
    </w:p>
    <w:p>
      <w:pPr>
        <w:pStyle w:val="ListParagraph"/>
        <w:numPr>
          <w:ilvl w:val="0"/>
          <w:numId w:val="2"/>
        </w:numPr>
        <w:spacing w:after="80"/>
      </w:pPr>
      <w:r>
        <w:rPr>
          <w:b w:val="false"/>
          <w:bCs w:val="false"/>
        </w:rPr>
        <w:t xml:space="preserve">Third-party logistics operators drove 58% of Bengaluru's warehouse leasing in H1 2026, followed by manufacturing (16%), e-commerce (15%) and FMCG (8%); warehouse rentals rose 4–5% and industrial land prices climbed 9–10% even as vacancy eased to 11% from 13%.</w:t>
      </w:r>
    </w:p>
    <w:p>
      <w:pPr>
        <w:pStyle w:val="ListParagraph"/>
        <w:numPr>
          <w:ilvl w:val="0"/>
          <w:numId w:val="2"/>
        </w:numPr>
        <w:spacing w:after="80"/>
      </w:pPr>
      <w:r>
        <w:rPr>
          <w:b w:val="false"/>
          <w:bCs w:val="false"/>
        </w:rPr>
        <w:t xml:space="preserve">Retail leasing in the city reached ~0.25 million sq ft in Q2 2026, up 19% quarter-on-quarter and 42% year-on-year, while the broader industrial segment recorded nearly 1.4 million sq ft of leasing over H1 2026.</w:t>
      </w:r>
    </w:p>
    <w:p>
      <w:pPr>
        <w:spacing w:after="150"/>
      </w:pPr>
      <w:r>
        <w:rPr>
          <w:i/>
          <w:iCs/>
          <w:color w:val="595959"/>
          <w:sz w:val="18"/>
          <w:szCs w:val="18"/>
        </w:rPr>
        <w:t xml:space="preserve">Sources: Cushman &amp; Wakefield India (H1 2026 Logistics &amp; Industrial MarketBeat, Bengaluru retail leasing).</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K-RERA has intensified its crackdown on unregistered projects since February 2026, having received 765 complaints since 2021 — 440 resolved and 325 progressing through hearings — while flagging a key loophole where planning authorities grant building sanctions and occupancy certificates without requiring a RERA registration number.</w:t>
      </w:r>
    </w:p>
    <w:p>
      <w:pPr>
        <w:pStyle w:val="ListParagraph"/>
        <w:numPr>
          <w:ilvl w:val="0"/>
          <w:numId w:val="2"/>
        </w:numPr>
        <w:spacing w:after="80"/>
      </w:pPr>
      <w:r>
        <w:rPr>
          <w:b w:val="false"/>
          <w:bCs w:val="false"/>
        </w:rPr>
        <w:t xml:space="preserve">The regulator's enforcement drive targets both inadvertent registration lapses and deliberate non-compliance, with confirmed unregistered developments now being referred to competent adjudicating bodies for further action.</w:t>
      </w:r>
    </w:p>
    <w:p>
      <w:pPr>
        <w:pStyle w:val="ListParagraph"/>
        <w:numPr>
          <w:ilvl w:val="0"/>
          <w:numId w:val="2"/>
        </w:numPr>
        <w:spacing w:after="80"/>
      </w:pPr>
      <w:r>
        <w:rPr>
          <w:b w:val="false"/>
          <w:bCs w:val="false"/>
        </w:rPr>
        <w:t xml:space="preserve">CREDAI Karnataka is likely to face renewed scrutiny on launch pacing given Bengaluru's newly-overtaken unsold-inventory position relative to Mumbai, even as H1 2026 launch volumes hit a city record.</w:t>
      </w:r>
    </w:p>
    <w:p>
      <w:pPr>
        <w:spacing w:after="150"/>
      </w:pPr>
      <w:r>
        <w:rPr>
          <w:i/>
          <w:iCs/>
          <w:color w:val="595959"/>
          <w:sz w:val="18"/>
          <w:szCs w:val="18"/>
        </w:rPr>
        <w:t xml:space="preserve">Sources: NoBroker Times/PropNewsTime (K-RERA unregistered-projects crackdown); Business Standard/Deccan Herald (unsold inventory).</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Hyderabad's growth is broadening well beyond its established Financial District core, with Kokapet, Neopolis, Narsingi, Puppalguda, Tellapur, Kollur, Bachupally, Kompally and Miyapur all emerging as distinct premium and mid-income residential corridors in 2026.</w:t>
      </w:r>
    </w:p>
    <w:p>
      <w:pPr>
        <w:pStyle w:val="ListParagraph"/>
        <w:numPr>
          <w:ilvl w:val="0"/>
          <w:numId w:val="2"/>
        </w:numPr>
        <w:spacing w:after="80"/>
      </w:pPr>
      <w:r>
        <w:rPr>
          <w:b w:val="false"/>
          <w:bCs w:val="false"/>
        </w:rPr>
        <w:t xml:space="preserve">Kokapet now commands entry prices near ₹9,000 per sq ft, while Neopolis-layout and Financial District-adjacent premium apartments range ₹11,000–15,000 per sq ft, with exclusive luxury sites crossing ₹16,000 per sq ft.</w:t>
      </w:r>
    </w:p>
    <w:p>
      <w:pPr>
        <w:pStyle w:val="ListParagraph"/>
        <w:numPr>
          <w:ilvl w:val="0"/>
          <w:numId w:val="2"/>
        </w:numPr>
        <w:spacing w:after="80"/>
      </w:pPr>
      <w:r>
        <w:rPr>
          <w:b w:val="false"/>
          <w:bCs w:val="false"/>
        </w:rPr>
        <w:t xml:space="preserve">HMDA's Neopolis Phase 3 land auctions drew intense bidding, with the upset price of ₹99 crore per acre pushed to a winning bid of ₹151.25 crore per acre — underscoring sustained institutional confidence in Hyderabad's western growth belt.</w:t>
      </w:r>
    </w:p>
    <w:p>
      <w:pPr>
        <w:spacing w:after="150"/>
      </w:pPr>
      <w:r>
        <w:rPr>
          <w:i/>
          <w:iCs/>
          <w:color w:val="595959"/>
          <w:sz w:val="18"/>
          <w:szCs w:val="18"/>
        </w:rPr>
        <w:t xml:space="preserve">Sources: ASBL/Homefleet/PakkaJameen (Hyderabad western-corridor growth, Kokapet/Neopolis pricing); YS Realty/BigProperty (HMDA Neopolis Phase 3 land auction).</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Tamil Nadu's CMDA has cut clearance timelines for multi-storey building applications from over three months to approximately 45 days, as part of a broader streamlining of planning approvals across the Chennai Metropolitan Area.</w:t>
      </w:r>
    </w:p>
    <w:p>
      <w:pPr>
        <w:pStyle w:val="ListParagraph"/>
        <w:numPr>
          <w:ilvl w:val="0"/>
          <w:numId w:val="2"/>
        </w:numPr>
        <w:spacing w:after="80"/>
      </w:pPr>
      <w:r>
        <w:rPr>
          <w:b w:val="false"/>
          <w:bCs w:val="false"/>
        </w:rPr>
        <w:t xml:space="preserve">CMDA is simultaneously finalising the Third Master Plan (2027–2046), covering a core 1,189 sq km alongside a wider 5,904 sq km planning framework for the expanded Chennai metropolitan region.</w:t>
      </w:r>
    </w:p>
    <w:p>
      <w:pPr>
        <w:pStyle w:val="ListParagraph"/>
        <w:numPr>
          <w:ilvl w:val="0"/>
          <w:numId w:val="2"/>
        </w:numPr>
        <w:spacing w:after="80"/>
      </w:pPr>
      <w:r>
        <w:rPr>
          <w:b w:val="false"/>
          <w:bCs w:val="false"/>
        </w:rPr>
        <w:t xml:space="preserve">The Tamil Nadu Housing Board launched an online sales portal on 12 August 2026 offering 7,659 units — plots, flats and commercial sites — on a first-come basis, adding fresh state-backed supply to the Chennai market.</w:t>
      </w:r>
    </w:p>
    <w:p>
      <w:pPr>
        <w:spacing w:after="150"/>
      </w:pPr>
      <w:r>
        <w:rPr>
          <w:i/>
          <w:iCs/>
          <w:color w:val="595959"/>
          <w:sz w:val="18"/>
          <w:szCs w:val="18"/>
        </w:rPr>
        <w:t xml:space="preserve">Sources: Deccan Chronicle/PropNewsTime (CMDA approval-timeline reform, Third Master Plan); Verified.RealEstate community (TN government reshuffle, TNHB portal).</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TNRERA has granted a four-month extension to Tamil Nadu developers whose registered projects were delayed due to ongoing West Asia-linked supply-chain disruptions, mirroring similar relief already extended nationally by the Centre.</w:t>
      </w:r>
    </w:p>
    <w:p>
      <w:pPr>
        <w:pStyle w:val="ListParagraph"/>
        <w:numPr>
          <w:ilvl w:val="0"/>
          <w:numId w:val="2"/>
        </w:numPr>
        <w:spacing w:after="80"/>
      </w:pPr>
      <w:r>
        <w:rPr>
          <w:b w:val="false"/>
          <w:bCs w:val="false"/>
        </w:rPr>
        <w:t xml:space="preserve">ANAROCK's Q2 2026 report shows Hyderabad among only three cities nationally — alongside Kolkata and Bengaluru — to post housing-sales growth, even as the top seven cities collectively saw a 6% YoY sales decline.</w:t>
      </w:r>
    </w:p>
    <w:p>
      <w:pPr>
        <w:pStyle w:val="ListParagraph"/>
        <w:numPr>
          <w:ilvl w:val="0"/>
          <w:numId w:val="2"/>
        </w:numPr>
        <w:spacing w:after="80"/>
      </w:pPr>
      <w:r>
        <w:rPr>
          <w:b w:val="false"/>
          <w:bCs w:val="false"/>
        </w:rPr>
        <w:t xml:space="preserve">HMDA's record ₹151.25-crore-per-acre Neopolis land bid offers South Indian CREDAI chapters a strong counter-signal of institutional confidence even as broader national sales volumes soften.</w:t>
      </w:r>
    </w:p>
    <w:p>
      <w:pPr>
        <w:spacing w:after="150"/>
      </w:pPr>
      <w:r>
        <w:rPr>
          <w:i/>
          <w:iCs/>
          <w:color w:val="595959"/>
          <w:sz w:val="18"/>
          <w:szCs w:val="18"/>
        </w:rPr>
        <w:t xml:space="preserve">Sources: Aparna Decors (TNRERA four-month extension); Outlook Money/Construction Week (ANAROCK Q2 2026 city performance); YS Realty.</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ANAROCK's Q2 2026 report shows housing sales across India's top seven cities fell 6% YoY to roughly 90,715 units (down 11% sequentially), even as new launches rose 7% YoY to nearly 106,000 units — a widening gap between fresh supply and buyer absorption.</w:t>
      </w:r>
    </w:p>
    <w:p>
      <w:pPr>
        <w:pStyle w:val="ListParagraph"/>
        <w:numPr>
          <w:ilvl w:val="0"/>
          <w:numId w:val="2"/>
        </w:numPr>
        <w:spacing w:after="80"/>
      </w:pPr>
      <w:r>
        <w:rPr>
          <w:b w:val="false"/>
          <w:bCs w:val="false"/>
        </w:rPr>
        <w:t xml:space="preserve">Average residential prices nationally rose approximately 7% YoY in Q2 2026, with Delhi-NCR leading price growth at 13%; Pune posted the steepest sales decline at 15% YoY, while only Kolkata, Hyderabad and Bengaluru registered any sales growth.</w:t>
      </w:r>
    </w:p>
    <w:p>
      <w:pPr>
        <w:pStyle w:val="ListParagraph"/>
        <w:numPr>
          <w:ilvl w:val="0"/>
          <w:numId w:val="2"/>
        </w:numPr>
        <w:spacing w:after="80"/>
      </w:pPr>
      <w:r>
        <w:rPr>
          <w:b w:val="false"/>
          <w:bCs w:val="false"/>
        </w:rPr>
        <w:t xml:space="preserve">Persistent uncertainty stemming from the West Asia conflict and associated supply-chain disruptions was cited as a key drag on buyer confidence during the quarter, even as affordability continues to improve on steady incomes and stable rates.</w:t>
      </w:r>
    </w:p>
    <w:p>
      <w:pPr>
        <w:spacing w:after="150"/>
      </w:pPr>
      <w:r>
        <w:rPr>
          <w:i/>
          <w:iCs/>
          <w:color w:val="595959"/>
          <w:sz w:val="18"/>
          <w:szCs w:val="18"/>
        </w:rPr>
        <w:t xml:space="preserve">Sources: ANAROCK via Outlook Money/Construction Week/Realty Hunting (Q2 2026 top-7-city sales, price and launch data).</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The RBI held its repo rate steady at 5.25% on 5 August 2026, a fourth consecutive pause, helping keep borrowing costs favourable for homebuyers even as developers navigate a cooling sales cycle nationally.</w:t>
      </w:r>
    </w:p>
    <w:p>
      <w:pPr>
        <w:pStyle w:val="ListParagraph"/>
        <w:numPr>
          <w:ilvl w:val="0"/>
          <w:numId w:val="2"/>
        </w:numPr>
        <w:spacing w:after="80"/>
      </w:pPr>
      <w:r>
        <w:rPr>
          <w:b w:val="false"/>
          <w:bCs w:val="false"/>
        </w:rPr>
        <w:t xml:space="preserve">YEIDA launched 973 residential plots near the upcoming Noida International Airport via a draw-of-lots allotment, adding to the steady pipeline of government-backed land supply feeding the NCR market.</w:t>
      </w:r>
    </w:p>
    <w:p>
      <w:pPr>
        <w:pStyle w:val="ListParagraph"/>
        <w:numPr>
          <w:ilvl w:val="0"/>
          <w:numId w:val="2"/>
        </w:numPr>
        <w:spacing w:after="80"/>
      </w:pPr>
      <w:r>
        <w:rPr>
          <w:b w:val="false"/>
          <w:bCs w:val="false"/>
        </w:rPr>
        <w:t xml:space="preserve">Bengaluru's 78% YoY surge in warehouse leasing and Hyderabad's record Neopolis land bids both point to continued institutional and industrial capital deployment even as residential sales volumes soften nationally.</w:t>
      </w:r>
    </w:p>
    <w:p>
      <w:pPr>
        <w:spacing w:after="150"/>
      </w:pPr>
      <w:r>
        <w:rPr>
          <w:i/>
          <w:iCs/>
          <w:color w:val="595959"/>
          <w:sz w:val="18"/>
          <w:szCs w:val="18"/>
        </w:rPr>
        <w:t xml:space="preserve">Sources: Realty Hunting (RBI repo rate, YEIDA plot draw); Cushman &amp; Wakefield India; YS Realty.</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NAREDCO has intensified its pre-Budget 2026 push for real estate industry status, a higher home-loan interest deduction (raised from ₹2 lakh to ₹5 lakh) and a redefinition of "affordable housing" to homes priced up to ₹75–80 lakh, up from the current ₹45 lakh threshold.</w:t>
      </w:r>
    </w:p>
    <w:p>
      <w:pPr>
        <w:pStyle w:val="ListParagraph"/>
        <w:numPr>
          <w:ilvl w:val="0"/>
          <w:numId w:val="2"/>
        </w:numPr>
        <w:spacing w:after="80"/>
      </w:pPr>
      <w:r>
        <w:rPr>
          <w:b w:val="false"/>
          <w:bCs w:val="false"/>
        </w:rPr>
        <w:t xml:space="preserve">The apex body has also sought targeted tax incentives for rental housing, citing rental yields of just 1–3% nationally, alongside calls for greater utilisation of government-owned land for affordable and mid-income supply.</w:t>
      </w:r>
    </w:p>
    <w:p>
      <w:pPr>
        <w:pStyle w:val="ListParagraph"/>
        <w:numPr>
          <w:ilvl w:val="0"/>
          <w:numId w:val="2"/>
        </w:numPr>
        <w:spacing w:after="80"/>
      </w:pPr>
      <w:r>
        <w:rPr>
          <w:b w:val="false"/>
          <w:bCs w:val="false"/>
        </w:rPr>
        <w:t xml:space="preserve">Karnataka's K-RERA crackdown on unregistered projects and Tamil Nadu's TNRERA relief for West Asia-linked project delays illustrate the continued, uneven pace of state-level RERA enforcement and relief measures nationally this month.</w:t>
      </w:r>
    </w:p>
    <w:p>
      <w:pPr>
        <w:spacing w:after="150"/>
      </w:pPr>
      <w:r>
        <w:rPr>
          <w:i/>
          <w:iCs/>
          <w:color w:val="595959"/>
          <w:sz w:val="18"/>
          <w:szCs w:val="18"/>
        </w:rPr>
        <w:t xml:space="preserve">Sources: NAREDCO (pre-Budget 2026 recommendations via BusinessToday/The Realty Today/Sunday Guardian); NoBroker Times; Aparna Decors.</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2026-08-31T03:41:00.517Z</dcterms:created>
  <dcterms:modified xsi:type="dcterms:W3CDTF">2026-08-31T03:41:00.536Z</dcterms:modified>
</cp:coreProperties>
</file>

<file path=docProps/custom.xml><?xml version="1.0" encoding="utf-8"?>
<Properties xmlns="http://schemas.openxmlformats.org/officeDocument/2006/custom-properties" xmlns:vt="http://schemas.openxmlformats.org/officeDocument/2006/docPropsVTypes"/>
</file>