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6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Bannerghatta Road is set to get metro connectivity by mid-October, with BMRCL having received the Independent Safety Assessor certificate for the Pink Line's signalling system, clearing a critical hurdle for opening.</w:t>
      </w:r>
    </w:p>
    <w:p>
      <w:pPr>
        <w:pStyle w:val="ListParagraph"/>
        <w:numPr>
          <w:ilvl w:val="0"/>
          <w:numId w:val="2"/>
        </w:numPr>
        <w:spacing w:after="80"/>
      </w:pPr>
      <w:r>
        <w:rPr>
          <w:b w:val="false"/>
          <w:bCs w:val="false"/>
        </w:rPr>
        <w:t xml:space="preserve">The initial Pink Line stretch covers six stations — Kalena Agrahara, Hulimavu, IIM Bangalore, JP Nagar 4th Phase, Jayadeva Hospital and Tavarekere — creating Bengaluru's first interchange at Jayadeva with the operational Yellow Line.</w:t>
      </w:r>
    </w:p>
    <w:p>
      <w:pPr>
        <w:pStyle w:val="ListParagraph"/>
        <w:numPr>
          <w:ilvl w:val="0"/>
          <w:numId w:val="2"/>
        </w:numPr>
        <w:spacing w:after="80"/>
      </w:pPr>
      <w:r>
        <w:rPr>
          <w:b w:val="false"/>
          <w:bCs w:val="false"/>
        </w:rPr>
        <w:t xml:space="preserve">Chandapura has average prices of ₹6,000 per sq ft for flats and ₹4,499-5,999 per sq ft for plots, with land values up 57.1% over the past year along the fast-growing Chandapura-Anekal corridor.</w:t>
      </w:r>
    </w:p>
    <w:p>
      <w:pPr>
        <w:spacing w:after="150"/>
      </w:pPr>
      <w:r>
        <w:rPr>
          <w:i/>
          <w:iCs/>
          <w:color w:val="595959"/>
          <w:sz w:val="18"/>
          <w:szCs w:val="18"/>
        </w:rPr>
        <w:t xml:space="preserve">Sources: Deccan Herald/Nativeplanet (Pink Line mid-October opening, ISA certification); 99acres/Glenhart Estates (Chandapura pricing and appreciation).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NH-44's widening from 4 to 8 lanes through the Chandapura-Anekal corridor, underway since Q2 2025, is reinforcing the belt's positioning as a strategic investment corridor connecting Electronic City, Hosur Road and Anekal.</w:t>
      </w:r>
    </w:p>
    <w:p>
      <w:pPr>
        <w:pStyle w:val="ListParagraph"/>
        <w:numPr>
          <w:ilvl w:val="0"/>
          <w:numId w:val="2"/>
        </w:numPr>
        <w:spacing w:after="80"/>
      </w:pPr>
      <w:r>
        <w:rPr>
          <w:b w:val="false"/>
          <w:bCs w:val="false"/>
        </w:rPr>
        <w:t xml:space="preserve">Prestige Chandapura, a 70-acre integrated township on Hosur Road with both plotted and apartment formats totalling around 4,000 units, is targeting possession from January 2029.</w:t>
      </w:r>
    </w:p>
    <w:p>
      <w:pPr>
        <w:pStyle w:val="ListParagraph"/>
        <w:numPr>
          <w:ilvl w:val="0"/>
          <w:numId w:val="2"/>
        </w:numPr>
        <w:spacing w:after="80"/>
      </w:pPr>
      <w:r>
        <w:rPr>
          <w:b w:val="false"/>
          <w:bCs w:val="false"/>
        </w:rPr>
        <w:t xml:space="preserve">BMRCL plans to operate six trains on the new 7.5 km Pink Line stretch at a peak-hour frequency of six minutes, a service level expected to meaningfully boost commercial and retail viability along Bannerghatta Road once operational.</w:t>
      </w:r>
    </w:p>
    <w:p>
      <w:pPr>
        <w:spacing w:after="150"/>
      </w:pPr>
      <w:r>
        <w:rPr>
          <w:i/>
          <w:iCs/>
          <w:color w:val="595959"/>
          <w:sz w:val="18"/>
          <w:szCs w:val="18"/>
        </w:rPr>
        <w:t xml:space="preserve">Sources: Glenhart Estates (NH-44 widening); PropNewz (Prestige Chandapura township); Nativeplanet (Pink Line service plan).</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first 7.5 km elevated Pink Line section awaits final Railway Board and Commissioner of Metro Railway Safety clearances, with the statutory safety inspection and authorisation expected by the first week of October.</w:t>
      </w:r>
    </w:p>
    <w:p>
      <w:pPr>
        <w:pStyle w:val="ListParagraph"/>
        <w:numPr>
          <w:ilvl w:val="0"/>
          <w:numId w:val="2"/>
        </w:numPr>
        <w:spacing w:after="80"/>
      </w:pPr>
      <w:r>
        <w:rPr>
          <w:b w:val="false"/>
          <w:bCs w:val="false"/>
        </w:rPr>
        <w:t xml:space="preserve">K-RERA's continued oversight of large-format registered townships like Prestige Chandapura remains a priority as plotted and apartment inventory scales up along peripheral corridors.</w:t>
      </w:r>
    </w:p>
    <w:p>
      <w:pPr>
        <w:pStyle w:val="ListParagraph"/>
        <w:numPr>
          <w:ilvl w:val="0"/>
          <w:numId w:val="2"/>
        </w:numPr>
        <w:spacing w:after="80"/>
      </w:pPr>
      <w:r>
        <w:rPr>
          <w:b w:val="false"/>
          <w:bCs w:val="false"/>
        </w:rPr>
        <w:t xml:space="preserve">CREDAI Karnataka is likely to view the Pink Line's imminent opening as validation of continued infrastructure-linked demand along Bannerghatta Road and the broader South Bengaluru corridor.</w:t>
      </w:r>
    </w:p>
    <w:p>
      <w:pPr>
        <w:spacing w:after="150"/>
      </w:pPr>
      <w:r>
        <w:rPr>
          <w:i/>
          <w:iCs/>
          <w:color w:val="595959"/>
          <w:sz w:val="18"/>
          <w:szCs w:val="18"/>
        </w:rPr>
        <w:t xml:space="preserve">Sources: Deccan Herald (Pink Line safety clearances); PropNewz.</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Raidurg land auction hit a record ₹269 crore per acre as Vamsiram Builders bought a 5.38-acre plot, underscoring continued institutional confidence in the city's prime corridors.</w:t>
      </w:r>
    </w:p>
    <w:p>
      <w:pPr>
        <w:pStyle w:val="ListParagraph"/>
        <w:numPr>
          <w:ilvl w:val="0"/>
          <w:numId w:val="2"/>
        </w:numPr>
        <w:spacing w:after="80"/>
      </w:pPr>
      <w:r>
        <w:rPr>
          <w:b w:val="false"/>
          <w:bCs w:val="false"/>
        </w:rPr>
        <w:t xml:space="preserve">Hyderabad's average residential price rose 7% YoY to ₹8,258 per sq ft in 2026, even as new-launch pricing averaged a comparatively lower ₹6,150 per sq ft.</w:t>
      </w:r>
    </w:p>
    <w:p>
      <w:pPr>
        <w:pStyle w:val="ListParagraph"/>
        <w:numPr>
          <w:ilvl w:val="0"/>
          <w:numId w:val="2"/>
        </w:numPr>
        <w:spacing w:after="80"/>
      </w:pPr>
      <w:r>
        <w:rPr>
          <w:b w:val="false"/>
          <w:bCs w:val="false"/>
        </w:rPr>
        <w:t xml:space="preserve">Homes priced above ₹2.5 crore accounted for 35% of Hyderabad's new launches in 2025, a sharp rise from just 18% in 2024, reflecting a clear shift toward the premium segment.</w:t>
      </w:r>
    </w:p>
    <w:p>
      <w:pPr>
        <w:spacing w:after="150"/>
      </w:pPr>
      <w:r>
        <w:rPr>
          <w:i/>
          <w:iCs/>
          <w:color w:val="595959"/>
          <w:sz w:val="18"/>
          <w:szCs w:val="18"/>
        </w:rPr>
        <w:t xml:space="preserve">Sources: Great Andhra (Raidurg record land auction); SquareYards (Hyderabad average price); AP7AM (premium launch share trend).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Brigade Enterprises has announced Brigade Barcelona, a new Hyderabad project with a revenue potential exceeding ₹2,700 crore.</w:t>
      </w:r>
    </w:p>
    <w:p>
      <w:pPr>
        <w:pStyle w:val="ListParagraph"/>
        <w:numPr>
          <w:ilvl w:val="0"/>
          <w:numId w:val="2"/>
        </w:numPr>
        <w:spacing w:after="80"/>
      </w:pPr>
      <w:r>
        <w:rPr>
          <w:b w:val="false"/>
          <w:bCs w:val="false"/>
        </w:rPr>
        <w:t xml:space="preserve">About 61% of new residential supply launched in Hyderabad in Q1 2026 was priced between ₹1.5-2.5 crore, indicating developers are increasingly targeting larger, premium product.</w:t>
      </w:r>
    </w:p>
    <w:p>
      <w:pPr>
        <w:pStyle w:val="ListParagraph"/>
        <w:numPr>
          <w:ilvl w:val="0"/>
          <w:numId w:val="2"/>
        </w:numPr>
        <w:spacing w:after="80"/>
      </w:pPr>
      <w:r>
        <w:rPr>
          <w:b w:val="false"/>
          <w:bCs w:val="false"/>
        </w:rPr>
        <w:t xml:space="preserve">The record ₹269 crore per acre Raidurg land auction is expected to reinforce continued commercial and mixed-use development interest in Hyderabad's premium western corridors.</w:t>
      </w:r>
    </w:p>
    <w:p>
      <w:pPr>
        <w:spacing w:after="150"/>
      </w:pPr>
      <w:r>
        <w:rPr>
          <w:i/>
          <w:iCs/>
          <w:color w:val="595959"/>
          <w:sz w:val="18"/>
          <w:szCs w:val="18"/>
        </w:rPr>
        <w:t xml:space="preserve">Sources: Homefleet (Brigade Barcelona launch); Telugu Times (Q1 2026 supply mix); Great Andhra.</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Telangana is likely to cite the record ₹269 crore per acre Raidurg land auction as fresh evidence of sustained institutional confidence in Hyderabad's premium real estate corridors.</w:t>
      </w:r>
    </w:p>
    <w:p>
      <w:pPr>
        <w:pStyle w:val="ListParagraph"/>
        <w:numPr>
          <w:ilvl w:val="0"/>
          <w:numId w:val="2"/>
        </w:numPr>
        <w:spacing w:after="80"/>
      </w:pPr>
      <w:r>
        <w:rPr>
          <w:b w:val="false"/>
          <w:bCs w:val="false"/>
        </w:rPr>
        <w:t xml:space="preserve">TGRERA's continued oversight of large-format premium launches like Brigade Barcelona remains a priority as Hyderabad's new-supply mix shifts decisively toward the ₹1.5-crore-plus segment.</w:t>
      </w:r>
    </w:p>
    <w:p>
      <w:pPr>
        <w:pStyle w:val="ListParagraph"/>
        <w:numPr>
          <w:ilvl w:val="0"/>
          <w:numId w:val="2"/>
        </w:numPr>
        <w:spacing w:after="80"/>
      </w:pPr>
      <w:r>
        <w:rPr>
          <w:b w:val="false"/>
          <w:bCs w:val="false"/>
        </w:rPr>
        <w:t xml:space="preserve">The sharp rise in Hyderabad's above-₹2.5-crore launch share (35% in 2025, up from 18% in 2024) is likely to prompt CREDAI Telangana to monitor affordability pressures even as premium demand remains robust.</w:t>
      </w:r>
    </w:p>
    <w:p>
      <w:pPr>
        <w:spacing w:after="150"/>
      </w:pPr>
      <w:r>
        <w:rPr>
          <w:i/>
          <w:iCs/>
          <w:color w:val="595959"/>
          <w:sz w:val="18"/>
          <w:szCs w:val="18"/>
        </w:rPr>
        <w:t xml:space="preserve">Sources: Great Andhra; AP7AM; Telugu Times.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NAREDCO-KPMG report "Advancing India's Housing and Urban Development Agenda," released at the NAREDCO Real Estate Conclave 2026 in June, outlined priorities for integrating AI, sustainable practices and governance reforms across India's housing sector.</w:t>
      </w:r>
    </w:p>
    <w:p>
      <w:pPr>
        <w:pStyle w:val="ListParagraph"/>
        <w:numPr>
          <w:ilvl w:val="0"/>
          <w:numId w:val="2"/>
        </w:numPr>
        <w:spacing w:after="80"/>
      </w:pPr>
      <w:r>
        <w:rPr>
          <w:b w:val="false"/>
          <w:bCs w:val="false"/>
        </w:rPr>
        <w:t xml:space="preserve">Institutional investments in Indian real estate rose 29% to a record $8.47 billion in 2025, even as foreign fund inflows dipped 16% due to global uncertainties — a mixed but overall positive capital backdrop entering 2026.</w:t>
      </w:r>
    </w:p>
    <w:p>
      <w:pPr>
        <w:pStyle w:val="ListParagraph"/>
        <w:numPr>
          <w:ilvl w:val="0"/>
          <w:numId w:val="2"/>
        </w:numPr>
        <w:spacing w:after="80"/>
      </w:pPr>
      <w:r>
        <w:rPr>
          <w:b w:val="false"/>
          <w:bCs w:val="false"/>
        </w:rPr>
        <w:t xml:space="preserve">India's residential sector is transitioning toward consolidation and quality-led growth after a prolonged expansion phase, with steady end-user demand continuing to anchor the market in 2026.</w:t>
      </w:r>
    </w:p>
    <w:p>
      <w:pPr>
        <w:spacing w:after="150"/>
      </w:pPr>
      <w:r>
        <w:rPr>
          <w:i/>
          <w:iCs/>
          <w:color w:val="595959"/>
          <w:sz w:val="18"/>
          <w:szCs w:val="18"/>
        </w:rPr>
        <w:t xml:space="preserve">Sources: ANI News (NAREDCO-KPMG report, Conclave 2026); Business Standard (2025 institutional investment data, 2026 market outlook).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Office leasing across India's top seven markets reached 54.4 million sq ft during the first nine months of 2026, up 7% YoY, according to Colliers India.</w:t>
      </w:r>
    </w:p>
    <w:p>
      <w:pPr>
        <w:pStyle w:val="ListParagraph"/>
        <w:numPr>
          <w:ilvl w:val="0"/>
          <w:numId w:val="2"/>
        </w:numPr>
        <w:spacing w:after="80"/>
      </w:pPr>
      <w:r>
        <w:rPr>
          <w:b w:val="false"/>
          <w:bCs w:val="false"/>
        </w:rPr>
        <w:t xml:space="preserve">Lodha Developers acquired five land parcels across Mumbai, Delhi-NCR and Bengaluru in the October-December period of FY2025-26, targeting an estimated sales value of nearly ₹34,000 crore.</w:t>
      </w:r>
    </w:p>
    <w:p>
      <w:pPr>
        <w:pStyle w:val="ListParagraph"/>
        <w:numPr>
          <w:ilvl w:val="0"/>
          <w:numId w:val="2"/>
        </w:numPr>
        <w:spacing w:after="80"/>
      </w:pPr>
      <w:r>
        <w:rPr>
          <w:b w:val="false"/>
          <w:bCs w:val="false"/>
        </w:rPr>
        <w:t xml:space="preserve">NAREDCO's June 2026 conclave also saw an MoU signed with the Institute of Chartered Accountants of India (ICAI), aimed at strengthening professional collaboration and transparency across the real estate sector.</w:t>
      </w:r>
    </w:p>
    <w:p>
      <w:pPr>
        <w:spacing w:after="150"/>
      </w:pPr>
      <w:r>
        <w:rPr>
          <w:i/>
          <w:iCs/>
          <w:color w:val="595959"/>
          <w:sz w:val="18"/>
          <w:szCs w:val="18"/>
        </w:rPr>
        <w:t xml:space="preserve">Sources: Business Standard (Colliers office leasing data, Lodha land acquisitions); ANI News (NAREDCO-ICAI MoU).</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cite the 29% rise in institutional real estate investment in 2025 as validation of continued domestic capital confidence, even as foreign inflows softened.</w:t>
      </w:r>
    </w:p>
    <w:p>
      <w:pPr>
        <w:pStyle w:val="ListParagraph"/>
        <w:numPr>
          <w:ilvl w:val="0"/>
          <w:numId w:val="2"/>
        </w:numPr>
        <w:spacing w:after="80"/>
      </w:pPr>
      <w:r>
        <w:rPr>
          <w:b w:val="false"/>
          <w:bCs w:val="false"/>
        </w:rPr>
        <w:t xml:space="preserve">The NAREDCO-ICAI MoU signed in June 2026 is expected to be viewed by CREDAI as a step toward greater financial transparency and professional capacity-building across the sector.</w:t>
      </w:r>
    </w:p>
    <w:p>
      <w:pPr>
        <w:pStyle w:val="ListParagraph"/>
        <w:numPr>
          <w:ilvl w:val="0"/>
          <w:numId w:val="2"/>
        </w:numPr>
        <w:spacing w:after="80"/>
      </w:pPr>
      <w:r>
        <w:rPr>
          <w:b w:val="false"/>
          <w:bCs w:val="false"/>
        </w:rPr>
        <w:t xml:space="preserve">Continued office leasing growth of 7% YoY through September 2026, alongside large-format land acquisitions like Lodha's ₹34,000 crore pipeline, reinforces CREDAI and NAREDCO's case for sustained institutional confidence in India's real estate sector nationally.</w:t>
      </w:r>
    </w:p>
    <w:p>
      <w:pPr>
        <w:spacing w:after="150"/>
      </w:pPr>
      <w:r>
        <w:rPr>
          <w:i/>
          <w:iCs/>
          <w:color w:val="595959"/>
          <w:sz w:val="18"/>
          <w:szCs w:val="18"/>
        </w:rPr>
        <w:t xml:space="preserve">Sources: Business Standard; ANI News.</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2026-10-06T03:38:06.245Z</dcterms:created>
  <dcterms:modified xsi:type="dcterms:W3CDTF">2026-10-06T03:38:06.256Z</dcterms:modified>
</cp:coreProperties>
</file>

<file path=docProps/custom.xml><?xml version="1.0" encoding="utf-8"?>
<Properties xmlns="http://schemas.openxmlformats.org/officeDocument/2006/custom-properties" xmlns:vt="http://schemas.openxmlformats.org/officeDocument/2006/docPropsVTypes"/>
</file>