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Wednesday, 29 July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Prestige Park Grove Villas, a 22-acre premium villa project in Whitefield, is offering 62 4BHK luxury villas priced ₹5.5–7 crore, while Prestige Tech Vista in Kadubeesanahalli (East Bengaluru) offers 30 ultra-luxury 4BHK villas at ₹3.53–3.68 crore.</w:t>
      </w:r>
    </w:p>
    <w:p>
      <w:pPr>
        <w:pStyle w:val="ListParagraph"/>
        <w:numPr>
          <w:ilvl w:val="0"/>
          <w:numId w:val="2"/>
        </w:numPr>
        <w:spacing w:after="80"/>
      </w:pPr>
      <w:r>
        <w:rPr>
          <w:b w:val="false"/>
          <w:bCs w:val="false"/>
        </w:rPr>
        <w:t xml:space="preserve">Puravankara has launched "Sound of Water", a new villa project at NICE Junction on Bannerghatta Road, adding to the city's expanding luxury villa pipeline alongside Prestige's 8-acre, 60-unit ultra-luxury villa community at Shettigere.</w:t>
      </w:r>
    </w:p>
    <w:p>
      <w:pPr>
        <w:pStyle w:val="ListParagraph"/>
        <w:numPr>
          <w:ilvl w:val="0"/>
          <w:numId w:val="2"/>
        </w:numPr>
        <w:spacing w:after="80"/>
      </w:pPr>
      <w:r>
        <w:rPr>
          <w:b w:val="false"/>
          <w:bCs w:val="false"/>
        </w:rPr>
        <w:t xml:space="preserve">Karnataka's guidance value may rise a further 15–20% from April 1, pushing up stamp duty and registration charges as the state looks to close the gap with market rates amid revenue pressures — building on the 6–15% hike already implemented in early 2026.</w:t>
      </w:r>
    </w:p>
    <w:p>
      <w:pPr>
        <w:pStyle w:val="ListParagraph"/>
        <w:numPr>
          <w:ilvl w:val="0"/>
          <w:numId w:val="2"/>
        </w:numPr>
        <w:spacing w:after="80"/>
      </w:pPr>
      <w:r>
        <w:rPr>
          <w:b w:val="false"/>
          <w:bCs w:val="false"/>
        </w:rPr>
        <w:t xml:space="preserve">Karnataka's stamp-duty slabs remain concessional at the lower end: properties priced ₹21–35 lakh attract 3% stamp duty, those above ₹35 lakh attract 5%, and those within ₹20 lakh attract 2%.</w:t>
      </w:r>
    </w:p>
    <w:p>
      <w:pPr>
        <w:spacing w:after="150"/>
      </w:pPr>
      <w:r>
        <w:rPr>
          <w:i/>
          <w:iCs/>
          <w:color w:val="595959"/>
          <w:sz w:val="18"/>
          <w:szCs w:val="18"/>
        </w:rPr>
        <w:t xml:space="preserve">Sources: NoBroker; Prestige Southern Star; Deccan Herald; Beegru.</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Bengaluru's office market sustained strong momentum in Q2 2026, with 5.6 million sq ft of gross leasing driven by healthy occupier demand and robust GCC activity; GCCs accounted for 52% of quarterly leasing, alongside engineering &amp; manufacturing, BFSI and IT-BPM firms.</w:t>
      </w:r>
    </w:p>
    <w:p>
      <w:pPr>
        <w:pStyle w:val="ListParagraph"/>
        <w:numPr>
          <w:ilvl w:val="0"/>
          <w:numId w:val="2"/>
        </w:numPr>
        <w:spacing w:after="80"/>
      </w:pPr>
      <w:r>
        <w:rPr>
          <w:b w:val="false"/>
          <w:bCs w:val="false"/>
        </w:rPr>
        <w:t xml:space="preserve">Grade A office supply hit a record 5.8 million sq ft in Q2 2026, with rentals continuing to appreciate on sustained demand for quality commercial space.</w:t>
      </w:r>
    </w:p>
    <w:p>
      <w:pPr>
        <w:pStyle w:val="ListParagraph"/>
        <w:numPr>
          <w:ilvl w:val="0"/>
          <w:numId w:val="2"/>
        </w:numPr>
        <w:spacing w:after="80"/>
      </w:pPr>
      <w:r>
        <w:rPr>
          <w:b w:val="false"/>
          <w:bCs w:val="false"/>
        </w:rPr>
        <w:t xml:space="preserve">Bengaluru continued to lead India's commercial property market in H1 2026 with 14.1 million sq ft leased.</w:t>
      </w:r>
    </w:p>
    <w:p>
      <w:pPr>
        <w:spacing w:after="150"/>
      </w:pPr>
      <w:r>
        <w:rPr>
          <w:i/>
          <w:iCs/>
          <w:color w:val="595959"/>
          <w:sz w:val="18"/>
          <w:szCs w:val="18"/>
        </w:rPr>
        <w:t xml:space="preserve">Sources: Cushman &amp; Wakefield Bengaluru MarketBeat; NoBroker Times.</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CREDAI Karnataka's RERA circular tracker continues to flag state-level notifications for member developers, as K-RERA works through its recent push on Annual Audit Report compliance and its new developer rating system.</w:t>
      </w:r>
    </w:p>
    <w:p>
      <w:pPr>
        <w:pStyle w:val="ListParagraph"/>
        <w:numPr>
          <w:ilvl w:val="0"/>
          <w:numId w:val="2"/>
        </w:numPr>
        <w:spacing w:after="80"/>
      </w:pPr>
      <w:r>
        <w:rPr>
          <w:b w:val="false"/>
          <w:bCs w:val="false"/>
        </w:rPr>
        <w:t xml:space="preserve">The guidance-value hike debate is unfolding alongside K-RERA's compliance drive, with developers and homebuyers both weighing higher transaction costs against the regulator's push for greater transparency.</w:t>
      </w:r>
    </w:p>
    <w:p>
      <w:pPr>
        <w:pStyle w:val="ListParagraph"/>
        <w:numPr>
          <w:ilvl w:val="0"/>
          <w:numId w:val="2"/>
        </w:numPr>
        <w:spacing w:after="80"/>
      </w:pPr>
      <w:r>
        <w:rPr>
          <w:b w:val="false"/>
          <w:bCs w:val="false"/>
        </w:rPr>
        <w:t xml:space="preserve">CREDAI Karnataka continues to represent developer interests on registration-fee and guidance-value policy even as it separately pushes the state for faster project approvals.</w:t>
      </w:r>
    </w:p>
    <w:p>
      <w:pPr>
        <w:spacing w:after="150"/>
      </w:pPr>
      <w:r>
        <w:rPr>
          <w:i/>
          <w:iCs/>
          <w:color w:val="595959"/>
          <w:sz w:val="18"/>
          <w:szCs w:val="18"/>
        </w:rPr>
        <w:t xml:space="preserve">Sources: Deccan Herald; CREDAI Karnataka; Beegru.</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Chennai's average property price stands at ~₹7,225/sq ft, lower than both Hyderabad (~₹7,412/sq ft) and Bengaluru (~₹7,881/sq ft), reinforcing Chennai's positioning as South India's most affordable major residential market.</w:t>
      </w:r>
    </w:p>
    <w:p>
      <w:pPr>
        <w:pStyle w:val="ListParagraph"/>
        <w:numPr>
          <w:ilvl w:val="0"/>
          <w:numId w:val="2"/>
        </w:numPr>
        <w:spacing w:after="80"/>
      </w:pPr>
      <w:r>
        <w:rPr>
          <w:b w:val="false"/>
          <w:bCs w:val="false"/>
        </w:rPr>
        <w:t xml:space="preserve">Hyderabad's housing prices have risen 81% since 2019, even as average home sizes have shrunk — reflecting a shift toward premium, smaller-format housing and growing affordability pressure for buyers.</w:t>
      </w:r>
    </w:p>
    <w:p>
      <w:pPr>
        <w:pStyle w:val="ListParagraph"/>
        <w:numPr>
          <w:ilvl w:val="0"/>
          <w:numId w:val="2"/>
        </w:numPr>
        <w:spacing w:after="80"/>
      </w:pPr>
      <w:r>
        <w:rPr>
          <w:b w:val="false"/>
          <w:bCs w:val="false"/>
        </w:rPr>
        <w:t xml:space="preserve">Telangana has amended building rules to allow additional floors, setback relaxations and expanded Transferable Development Rights (TDR) usage — a regulatory change aimed at boosting real estate growth in Hyderabad.</w:t>
      </w:r>
    </w:p>
    <w:p>
      <w:pPr>
        <w:spacing w:after="150"/>
      </w:pPr>
      <w:r>
        <w:rPr>
          <w:i/>
          <w:iCs/>
          <w:color w:val="595959"/>
          <w:sz w:val="18"/>
          <w:szCs w:val="18"/>
        </w:rPr>
        <w:t xml:space="preserve">Sources: Tradebrains; 99acres.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Chennai's positioning as a value-driven, stable-appreciation market continues to draw developer and investor interest, alongside its established GCC-led office demand base.</w:t>
      </w:r>
    </w:p>
    <w:p>
      <w:pPr>
        <w:pStyle w:val="ListParagraph"/>
        <w:numPr>
          <w:ilvl w:val="0"/>
          <w:numId w:val="2"/>
        </w:numPr>
        <w:spacing w:after="80"/>
      </w:pPr>
      <w:r>
        <w:rPr>
          <w:b w:val="false"/>
          <w:bCs w:val="false"/>
        </w:rPr>
        <w:t xml:space="preserve">Telangana's building-rule amendments — additional floors, setback relaxations and expanded TDR usage — are expected to support higher-density commercial and residential development in Hyderabad going forward.</w:t>
      </w:r>
    </w:p>
    <w:p>
      <w:pPr>
        <w:pStyle w:val="ListParagraph"/>
        <w:numPr>
          <w:ilvl w:val="0"/>
          <w:numId w:val="2"/>
        </w:numPr>
        <w:spacing w:after="80"/>
      </w:pPr>
      <w:r>
        <w:rPr>
          <w:b w:val="false"/>
          <w:bCs w:val="false"/>
        </w:rPr>
        <w:t xml:space="preserve">Hyderabad's stronger price appreciation relative to Chennai continues to reflect its deeper GCC and IT-led commercial base pulling through to residential demand.</w:t>
      </w:r>
    </w:p>
    <w:p>
      <w:pPr>
        <w:spacing w:after="150"/>
      </w:pPr>
      <w:r>
        <w:rPr>
          <w:i/>
          <w:iCs/>
          <w:color w:val="595959"/>
          <w:sz w:val="18"/>
          <w:szCs w:val="18"/>
        </w:rPr>
        <w:t xml:space="preserve">Sources: Tradebrains; 99acres.</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CREDAI's national push for a 3–6 month RERA project-completion extension remains a live ask directly relevant to Tamil Nadu, Telangana and Karnataka developers managing construction-cost and supply-chain pressures.</w:t>
      </w:r>
    </w:p>
    <w:p>
      <w:pPr>
        <w:pStyle w:val="ListParagraph"/>
        <w:numPr>
          <w:ilvl w:val="0"/>
          <w:numId w:val="2"/>
        </w:numPr>
        <w:spacing w:after="80"/>
      </w:pPr>
      <w:r>
        <w:rPr>
          <w:b w:val="false"/>
          <w:bCs w:val="false"/>
        </w:rPr>
        <w:t xml:space="preserve">MahaRERA's new Self-Regulatory Organisation (SRO) framework — recognising bodies like CREDAI-MCHI and CREDAI Maharashtra — is being watched as a potential governance model for South Indian state RERAs to adopt.</w:t>
      </w:r>
    </w:p>
    <w:p>
      <w:pPr>
        <w:pStyle w:val="ListParagraph"/>
        <w:numPr>
          <w:ilvl w:val="0"/>
          <w:numId w:val="2"/>
        </w:numPr>
        <w:spacing w:after="80"/>
      </w:pPr>
      <w:r>
        <w:rPr>
          <w:b w:val="false"/>
          <w:bCs w:val="false"/>
        </w:rPr>
        <w:t xml:space="preserve">RERA continues to be credited with moderating runaway housing prices, curbing speculative practices and restoring consumer trust across India's residential markets, including in South India's fast-growing cities.</w:t>
      </w:r>
    </w:p>
    <w:p>
      <w:pPr>
        <w:spacing w:after="150"/>
      </w:pPr>
      <w:r>
        <w:rPr>
          <w:i/>
          <w:iCs/>
          <w:color w:val="595959"/>
          <w:sz w:val="18"/>
          <w:szCs w:val="18"/>
        </w:rPr>
        <w:t xml:space="preserve">Sources: Outlook Money; Business Standard/MahaRERA; Business Standard.</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JLL's newly released "Construction Cost Guide, India — 2026" estimates construction costs will rise 3–5% across all asset classes in 2026, a factor likely to feed into new residential launch pricing nationally.</w:t>
      </w:r>
    </w:p>
    <w:p>
      <w:pPr>
        <w:pStyle w:val="ListParagraph"/>
        <w:numPr>
          <w:ilvl w:val="0"/>
          <w:numId w:val="2"/>
        </w:numPr>
        <w:spacing w:after="80"/>
      </w:pPr>
      <w:r>
        <w:rPr>
          <w:b w:val="false"/>
          <w:bCs w:val="false"/>
        </w:rPr>
        <w:t xml:space="preserve">Hyderabad's 81% house-price rise since 2019 — even as home sizes shrink — illustrates a broader national premiumisation trend also visible in other high-growth metros.</w:t>
      </w:r>
    </w:p>
    <w:p>
      <w:pPr>
        <w:pStyle w:val="ListParagraph"/>
        <w:numPr>
          <w:ilvl w:val="0"/>
          <w:numId w:val="2"/>
        </w:numPr>
        <w:spacing w:after="80"/>
      </w:pPr>
      <w:r>
        <w:rPr>
          <w:b w:val="false"/>
          <w:bCs w:val="false"/>
        </w:rPr>
        <w:t xml:space="preserve">RERA continues to be credited nationally with fostering transparency, discipline and long-term investor confidence, moderating runaway housing prices and curbing speculative practices since its 2016 introduction.</w:t>
      </w:r>
    </w:p>
    <w:p>
      <w:pPr>
        <w:spacing w:after="150"/>
      </w:pPr>
      <w:r>
        <w:rPr>
          <w:i/>
          <w:iCs/>
          <w:color w:val="595959"/>
          <w:sz w:val="18"/>
          <w:szCs w:val="18"/>
        </w:rPr>
        <w:t xml:space="preserve">Sources: JLL Construction Cost Guide India 2026; 99acres; Business Standard.</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Bengaluru's continued leadership in national commercial leasing (14.1 million sq ft in H1 2026) reflects sustained occupier confidence even as construction costs are projected to rise nationally.</w:t>
      </w:r>
    </w:p>
    <w:p>
      <w:pPr>
        <w:pStyle w:val="ListParagraph"/>
        <w:numPr>
          <w:ilvl w:val="0"/>
          <w:numId w:val="2"/>
        </w:numPr>
        <w:spacing w:after="80"/>
      </w:pPr>
      <w:r>
        <w:rPr>
          <w:b w:val="false"/>
          <w:bCs w:val="false"/>
        </w:rPr>
        <w:t xml:space="preserve">Telangana's building-rule liberalisation (additional floors, setback relaxations, expanded TDR) could serve as a template for other states seeking to boost commercial and residential density amid rising urban land constraints.</w:t>
      </w:r>
    </w:p>
    <w:p>
      <w:pPr>
        <w:pStyle w:val="ListParagraph"/>
        <w:numPr>
          <w:ilvl w:val="0"/>
          <w:numId w:val="2"/>
        </w:numPr>
        <w:spacing w:after="80"/>
      </w:pPr>
      <w:r>
        <w:rPr>
          <w:b w:val="false"/>
          <w:bCs w:val="false"/>
        </w:rPr>
        <w:t xml:space="preserve">GCC-led demand remains the dominant national office-leasing theme, with Bengaluru's 52% GCC leasing share in Q2 2026 consistent with similar trends in Chennai and Hyderabad.</w:t>
      </w:r>
    </w:p>
    <w:p>
      <w:pPr>
        <w:spacing w:after="150"/>
      </w:pPr>
      <w:r>
        <w:rPr>
          <w:i/>
          <w:iCs/>
          <w:color w:val="595959"/>
          <w:sz w:val="18"/>
          <w:szCs w:val="18"/>
        </w:rPr>
        <w:t xml:space="preserve">Sources: JLL Construction Cost Guide India 2026; 99acres; Cushman &amp; Wakefield Bengaluru MarketBeat.</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MahaRERA has formally recognised seven Self-Regulatory Organisations — including NAREDCO West Foundation, CREDAI-MCHI, CREDAI Maharashtra, Builders Association of India and CREDAI-Pune Metro — a governance innovation expected to encourage broader developer compliance nationally.</w:t>
      </w:r>
    </w:p>
    <w:p>
      <w:pPr>
        <w:pStyle w:val="ListParagraph"/>
        <w:numPr>
          <w:ilvl w:val="0"/>
          <w:numId w:val="2"/>
        </w:numPr>
        <w:spacing w:after="80"/>
      </w:pPr>
      <w:r>
        <w:rPr>
          <w:b w:val="false"/>
          <w:bCs w:val="false"/>
        </w:rPr>
        <w:t xml:space="preserve">CREDAI continues to press for a 3–6 month RERA project-completion extension nationally, citing ongoing construction-material supply-chain disruptions and labour-availability challenges.</w:t>
      </w:r>
    </w:p>
    <w:p>
      <w:pPr>
        <w:pStyle w:val="ListParagraph"/>
        <w:numPr>
          <w:ilvl w:val="0"/>
          <w:numId w:val="2"/>
        </w:numPr>
        <w:spacing w:after="80"/>
      </w:pPr>
      <w:r>
        <w:rPr>
          <w:b w:val="false"/>
          <w:bCs w:val="false"/>
        </w:rPr>
        <w:t xml:space="preserve">RERA has reshaped India's housing market and boosted investor confidence, per recent industry analysis, with the framework increasingly cited as a model for balancing developer flexibility with homebuyer protection.</w:t>
      </w:r>
    </w:p>
    <w:p>
      <w:pPr>
        <w:spacing w:after="150"/>
      </w:pPr>
      <w:r>
        <w:rPr>
          <w:i/>
          <w:iCs/>
          <w:color w:val="595959"/>
          <w:sz w:val="18"/>
          <w:szCs w:val="18"/>
        </w:rPr>
        <w:t xml:space="preserve">Sources: Business Standard/MahaRERA; Outlook Money; Business Standard.</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2026-07-29T03:40:37.642Z</dcterms:created>
  <dcterms:modified xsi:type="dcterms:W3CDTF">2026-07-29T03:40:37.658Z</dcterms:modified>
</cp:coreProperties>
</file>

<file path=docProps/custom.xml><?xml version="1.0" encoding="utf-8"?>
<Properties xmlns="http://schemas.openxmlformats.org/officeDocument/2006/custom-properties" xmlns:vt="http://schemas.openxmlformats.org/officeDocument/2006/docPropsVTypes"/>
</file>