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11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Century Real Estate has unveiled The Astoria at Century Immencity in Jakkur on International Airport Road — an intentionally limited collection of 334 Neo Luxe Residences across five towers that has crossed ₹550 crore in bookings since its July 2026 pre-launch as "Codename Bluemoon."</w:t>
      </w:r>
    </w:p>
    <w:p>
      <w:pPr>
        <w:pStyle w:val="ListParagraph"/>
        <w:numPr>
          <w:ilvl w:val="0"/>
          <w:numId w:val="2"/>
        </w:numPr>
        <w:spacing w:after="80"/>
      </w:pPr>
      <w:r>
        <w:rPr>
          <w:b w:val="false"/>
          <w:bCs w:val="false"/>
        </w:rPr>
        <w:t xml:space="preserve">Sarjapur Road's average flat price hit roughly ₹12,000 per sq ft in Q1 2026, up 15.7% YoY, though 99acres shows a registered transaction average of just ₹9,420 per sq ft versus the ₹12,150 per sq ft listing average.</w:t>
      </w:r>
    </w:p>
    <w:p>
      <w:pPr>
        <w:pStyle w:val="ListParagraph"/>
        <w:numPr>
          <w:ilvl w:val="0"/>
          <w:numId w:val="2"/>
        </w:numPr>
        <w:spacing w:after="80"/>
      </w:pPr>
      <w:r>
        <w:rPr>
          <w:b w:val="false"/>
          <w:bCs w:val="false"/>
        </w:rPr>
        <w:t xml:space="preserve">For a 3BHK along the Sarjapur-Carmelaram-Dommasandra belt, prices range from ₹1.4 crore in entry-tier pockets like Kodathi and Dommasandra to ₹2.8 crore in premium pockets like Carmelaram and the Bellandur junction.</w:t>
      </w:r>
    </w:p>
    <w:p>
      <w:pPr>
        <w:spacing w:after="150"/>
      </w:pPr>
      <w:r>
        <w:rPr>
          <w:i/>
          <w:iCs/>
          <w:color w:val="595959"/>
          <w:sz w:val="18"/>
          <w:szCs w:val="18"/>
        </w:rPr>
        <w:t xml:space="preserve">Sources: Business Standard/ANI (Century Real Estate's The Astoria launch); 99acres (Sarjapur Road listing vs registered pricing); PropNewz (3BHK pricing range).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Astoria's North Bengaluru launch reinforces the corridor's continued strengthening as a luxury housing destination, building on existing branded-residence precedents in the city including Prestige x The Leela, Embassy One x Four Seasons and Brigade x Sheraton.</w:t>
      </w:r>
    </w:p>
    <w:p>
      <w:pPr>
        <w:pStyle w:val="ListParagraph"/>
        <w:numPr>
          <w:ilvl w:val="0"/>
          <w:numId w:val="2"/>
        </w:numPr>
        <w:spacing w:after="80"/>
      </w:pPr>
      <w:r>
        <w:rPr>
          <w:b w:val="false"/>
          <w:bCs w:val="false"/>
        </w:rPr>
        <w:t xml:space="preserve">Namma Metro Phase 3A's approval and continued IT-sector expansion remain the primary demand drivers along the Sarjapur Road-Carmelaram-Dommasandra belt in 2026.</w:t>
      </w:r>
    </w:p>
    <w:p>
      <w:pPr>
        <w:pStyle w:val="ListParagraph"/>
        <w:numPr>
          <w:ilvl w:val="0"/>
          <w:numId w:val="2"/>
        </w:numPr>
        <w:spacing w:after="80"/>
      </w:pPr>
      <w:r>
        <w:rPr>
          <w:b w:val="false"/>
          <w:bCs w:val="false"/>
        </w:rPr>
        <w:t xml:space="preserve">The wide divergence between listing and registered prices across Sarjapur Road, Carmelaram and Dommasandra underscores the importance of checking Karnataka's Kaveri/IGR registered-transaction data before relying on portal asking prices.</w:t>
      </w:r>
    </w:p>
    <w:p>
      <w:pPr>
        <w:spacing w:after="150"/>
      </w:pPr>
      <w:r>
        <w:rPr>
          <w:i/>
          <w:iCs/>
          <w:color w:val="595959"/>
          <w:sz w:val="18"/>
          <w:szCs w:val="18"/>
        </w:rPr>
        <w:t xml:space="preserve">Sources: Business Standard/ANI; GuptaSen (Bengaluru branded-residence precedents); Abheeventures (Phase 3A, IT-driven demand).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received a digital push to help recover approximately ₹1,090 crore in pending dues from developers, reinforcing the regulator's focus on financial enforcement.</w:t>
      </w:r>
    </w:p>
    <w:p>
      <w:pPr>
        <w:pStyle w:val="ListParagraph"/>
        <w:numPr>
          <w:ilvl w:val="0"/>
          <w:numId w:val="2"/>
        </w:numPr>
        <w:spacing w:after="80"/>
      </w:pPr>
      <w:r>
        <w:rPr>
          <w:b w:val="false"/>
          <w:bCs w:val="false"/>
        </w:rPr>
        <w:t xml:space="preserve">K-RERA has prescribed a Standard Operating Procedure for enforcing its orders under Section 40, aimed at improving compliance and follow-through on buyer-protection rulings.</w:t>
      </w:r>
    </w:p>
    <w:p>
      <w:pPr>
        <w:pStyle w:val="ListParagraph"/>
        <w:numPr>
          <w:ilvl w:val="0"/>
          <w:numId w:val="2"/>
        </w:numPr>
        <w:spacing w:after="80"/>
      </w:pPr>
      <w:r>
        <w:rPr>
          <w:b w:val="false"/>
          <w:bCs w:val="false"/>
        </w:rPr>
        <w:t xml:space="preserve">CREDAI Karnataka is likely to view Century Real Estate's ₹550 crore pre-launch booking success for The Astoria as a strong signal of continued developer confidence in Bengaluru's luxury segment even amid broader market normalisation.</w:t>
      </w:r>
    </w:p>
    <w:p>
      <w:pPr>
        <w:spacing w:after="150"/>
      </w:pPr>
      <w:r>
        <w:rPr>
          <w:i/>
          <w:iCs/>
          <w:color w:val="595959"/>
          <w:sz w:val="18"/>
          <w:szCs w:val="18"/>
        </w:rPr>
        <w:t xml:space="preserve">Sources: RERA.news (K-RERA dues recovery push, Section 40 SOP); Business Standard/ANI.</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Amaravati's Land Pooling Scheme has pooled a total of 34,568.8 acres, per CRDA records, as the capital region's development continues to progress following the 2024 relaunch of stalled works.</w:t>
      </w:r>
    </w:p>
    <w:p>
      <w:pPr>
        <w:pStyle w:val="ListParagraph"/>
        <w:numPr>
          <w:ilvl w:val="0"/>
          <w:numId w:val="2"/>
        </w:numPr>
        <w:spacing w:after="80"/>
      </w:pPr>
      <w:r>
        <w:rPr>
          <w:b w:val="false"/>
          <w:bCs w:val="false"/>
        </w:rPr>
        <w:t xml:space="preserve">A promotional industry estimate claims Amaravati land prices have reached ₹50,000 per square yard as of September 2026, though this figure should be independently verified given its unverified, promotional-style sourcing.</w:t>
      </w:r>
    </w:p>
    <w:p>
      <w:pPr>
        <w:pStyle w:val="ListParagraph"/>
        <w:numPr>
          <w:ilvl w:val="0"/>
          <w:numId w:val="2"/>
        </w:numPr>
        <w:spacing w:after="80"/>
      </w:pPr>
      <w:r>
        <w:rPr>
          <w:b w:val="false"/>
          <w:bCs w:val="false"/>
        </w:rPr>
        <w:t xml:space="preserve">The Andhra Pradesh Capital Region Development Authority approved Minimum Viable Project works for the High Court and Assembly buildings in February 2026, alongside land allotments for banks and political party offices.</w:t>
      </w:r>
    </w:p>
    <w:p>
      <w:pPr>
        <w:spacing w:after="150"/>
      </w:pPr>
      <w:r>
        <w:rPr>
          <w:i/>
          <w:iCs/>
          <w:color w:val="595959"/>
          <w:sz w:val="18"/>
          <w:szCs w:val="18"/>
        </w:rPr>
        <w:t xml:space="preserve">Sources: Andhra Vilas/GN Estates (Amaravati land pooling, pricing claim); Newsonair (CRDA Minimum Viable Project approvals).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Amaravati Quantum Valley MOU signed on 25 August 2026 between Andhra Pradesh's urban development department and the UK government covers infrastructure, urban planning and mobility, with quantum computing services targeted to go live from January 2027.</w:t>
      </w:r>
    </w:p>
    <w:p>
      <w:pPr>
        <w:pStyle w:val="ListParagraph"/>
        <w:numPr>
          <w:ilvl w:val="0"/>
          <w:numId w:val="2"/>
        </w:numPr>
        <w:spacing w:after="80"/>
      </w:pPr>
      <w:r>
        <w:rPr>
          <w:b w:val="false"/>
          <w:bCs w:val="false"/>
        </w:rPr>
        <w:t xml:space="preserve">Continued government-led infrastructure approvals — including High Court, Assembly and bank land allotments — are reinforcing institutional confidence in Amaravati's capital-region build-out.</w:t>
      </w:r>
    </w:p>
    <w:p>
      <w:pPr>
        <w:pStyle w:val="ListParagraph"/>
        <w:numPr>
          <w:ilvl w:val="0"/>
          <w:numId w:val="2"/>
        </w:numPr>
        <w:spacing w:after="80"/>
      </w:pPr>
      <w:r>
        <w:rPr>
          <w:b w:val="false"/>
          <w:bCs w:val="false"/>
        </w:rPr>
        <w:t xml:space="preserve">Amaravati's real estate revival continues to be anchored in large-scale public infrastructure investment following the multi-year pause under the previous state government between 2019 and 2024.</w:t>
      </w:r>
    </w:p>
    <w:p>
      <w:pPr>
        <w:spacing w:after="150"/>
      </w:pPr>
      <w:r>
        <w:rPr>
          <w:i/>
          <w:iCs/>
          <w:color w:val="595959"/>
          <w:sz w:val="18"/>
          <w:szCs w:val="18"/>
        </w:rPr>
        <w:t xml:space="preserve">Sources: Wikipedia (Amaravati Quantum Valley MOU); Newsonair; Deccan Herald (Amaravati works relaunch background).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Andhra Pradesh is likely to view the continued CRDA-led infrastructure approvals and the Quantum Valley MOU as strong tailwinds for accelerating new project registrations across the Amaravati capital region.</w:t>
      </w:r>
    </w:p>
    <w:p>
      <w:pPr>
        <w:pStyle w:val="ListParagraph"/>
        <w:numPr>
          <w:ilvl w:val="0"/>
          <w:numId w:val="2"/>
        </w:numPr>
        <w:spacing w:after="80"/>
      </w:pPr>
      <w:r>
        <w:rPr>
          <w:b w:val="false"/>
          <w:bCs w:val="false"/>
        </w:rPr>
        <w:t xml:space="preserve">The unverified ₹50,000 per square yard land-price claim is likely to prompt CREDAI AP to urge caution around speculative pricing even as the underlying revival remains infrastructure-driven.</w:t>
      </w:r>
    </w:p>
    <w:p>
      <w:pPr>
        <w:pStyle w:val="ListParagraph"/>
        <w:numPr>
          <w:ilvl w:val="0"/>
          <w:numId w:val="2"/>
        </w:numPr>
        <w:spacing w:after="80"/>
      </w:pPr>
      <w:r>
        <w:rPr>
          <w:b w:val="false"/>
          <w:bCs w:val="false"/>
        </w:rPr>
        <w:t xml:space="preserve">Continued large-scale land pooling (34,568.8 acres) gives CREDAI Andhra Pradesh a substantial inventory base to coordinate registration and development planning around as Amaravati's capital-region build-out matures.</w:t>
      </w:r>
    </w:p>
    <w:p>
      <w:pPr>
        <w:spacing w:after="150"/>
      </w:pPr>
      <w:r>
        <w:rPr>
          <w:i/>
          <w:iCs/>
          <w:color w:val="595959"/>
          <w:sz w:val="18"/>
          <w:szCs w:val="18"/>
        </w:rPr>
        <w:t xml:space="preserve">Sources: Andhra Vilas/GN Estates; Wikipedia; Newsonair.</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 has entered the global top tier for branded residential developments, per a Savills report, ranking alongside the US, UAE, Thailand and Vietnam by number of completed or in-progress branded projects.</w:t>
      </w:r>
    </w:p>
    <w:p>
      <w:pPr>
        <w:pStyle w:val="ListParagraph"/>
        <w:numPr>
          <w:ilvl w:val="0"/>
          <w:numId w:val="2"/>
        </w:numPr>
        <w:spacing w:after="80"/>
      </w:pPr>
      <w:r>
        <w:rPr>
          <w:b w:val="false"/>
          <w:bCs w:val="false"/>
        </w:rPr>
        <w:t xml:space="preserve">India's branded luxury homes market has grown to 45 projects, with recent launches including Elie Saab-branded residences in Gurugram and Noida and Four Seasons Private Residences at Lodha World Towers in Mumbai.</w:t>
      </w:r>
    </w:p>
    <w:p>
      <w:pPr>
        <w:pStyle w:val="ListParagraph"/>
        <w:numPr>
          <w:ilvl w:val="0"/>
          <w:numId w:val="2"/>
        </w:numPr>
        <w:spacing w:after="80"/>
      </w:pPr>
      <w:r>
        <w:rPr>
          <w:b w:val="false"/>
          <w:bCs w:val="false"/>
        </w:rPr>
        <w:t xml:space="preserve">Over 50% of India's branded residential projects remain concentrated in Delhi-NCR and Mumbai, though the segment is increasingly expanding into other metros including Bengaluru.</w:t>
      </w:r>
    </w:p>
    <w:p>
      <w:pPr>
        <w:spacing w:after="150"/>
      </w:pPr>
      <w:r>
        <w:rPr>
          <w:i/>
          <w:iCs/>
          <w:color w:val="595959"/>
          <w:sz w:val="18"/>
          <w:szCs w:val="18"/>
        </w:rPr>
        <w:t xml:space="preserve">Sources: EliteAgent/Savills (India's global branded-residences ranking); Whalesbook (project count, geographic concentration); Luxebook India (recent branded launches).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LURE Holdings, a global luxury advisory platform, formally entered the Indian market through a partnership with CIRIL announced on 3 October 2026, signalling continued international interest in India's branded-residence segment.</w:t>
      </w:r>
    </w:p>
    <w:p>
      <w:pPr>
        <w:pStyle w:val="ListParagraph"/>
        <w:numPr>
          <w:ilvl w:val="0"/>
          <w:numId w:val="2"/>
        </w:numPr>
        <w:spacing w:after="80"/>
      </w:pPr>
      <w:r>
        <w:rPr>
          <w:b w:val="false"/>
          <w:bCs w:val="false"/>
        </w:rPr>
        <w:t xml:space="preserve">An upcoming Branded Residences Summit is reportedly planned for October 2026, reflecting the sector's growing visibility within India's broader luxury real estate ecosystem.</w:t>
      </w:r>
    </w:p>
    <w:p>
      <w:pPr>
        <w:pStyle w:val="ListParagraph"/>
        <w:numPr>
          <w:ilvl w:val="0"/>
          <w:numId w:val="2"/>
        </w:numPr>
        <w:spacing w:after="80"/>
      </w:pPr>
      <w:r>
        <w:rPr>
          <w:b w:val="false"/>
          <w:bCs w:val="false"/>
        </w:rPr>
        <w:t xml:space="preserve">India's luxury housing market, valued at an estimated $5 billion in 2025, ranks among the world's largest branded-residences markets, reinforcing continued institutional and brand-partner interest nationally.</w:t>
      </w:r>
    </w:p>
    <w:p>
      <w:pPr>
        <w:spacing w:after="150"/>
      </w:pPr>
      <w:r>
        <w:rPr>
          <w:i/>
          <w:iCs/>
          <w:color w:val="595959"/>
          <w:sz w:val="18"/>
          <w:szCs w:val="18"/>
        </w:rPr>
        <w:t xml:space="preserve">Sources: Ghar.tv (LURE Holdings-CIRIL partnership); Whalesbook (Branded Residences Summit, market valuation).</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view India's entry into the global top tier for branded residences as a milestone validating the sector's premium-segment growth strategy nationally.</w:t>
      </w:r>
    </w:p>
    <w:p>
      <w:pPr>
        <w:pStyle w:val="ListParagraph"/>
        <w:numPr>
          <w:ilvl w:val="0"/>
          <w:numId w:val="2"/>
        </w:numPr>
        <w:spacing w:after="80"/>
      </w:pPr>
      <w:r>
        <w:rPr>
          <w:b w:val="false"/>
          <w:bCs w:val="false"/>
        </w:rPr>
        <w:t xml:space="preserve">Continued brand-partner entries like LURE Holdings' CIRIL tie-up are expected to reinforce CREDAI and NAREDCO's case for deeper international capital and brand participation in India's luxury real estate segment.</w:t>
      </w:r>
    </w:p>
    <w:p>
      <w:pPr>
        <w:pStyle w:val="ListParagraph"/>
        <w:numPr>
          <w:ilvl w:val="0"/>
          <w:numId w:val="2"/>
        </w:numPr>
        <w:spacing w:after="80"/>
      </w:pPr>
      <w:r>
        <w:rPr>
          <w:b w:val="false"/>
          <w:bCs w:val="false"/>
        </w:rPr>
        <w:t xml:space="preserve">With branded projects still concentrated in Delhi-NCR and Mumbai, CREDAI and NAREDCO's regional chapters — including Karnataka's, following Century Real Estate's Astoria launch — are likely to push for greater geographic diversification of the branded-residence trend nationally.</w:t>
      </w:r>
    </w:p>
    <w:p>
      <w:pPr>
        <w:spacing w:after="150"/>
      </w:pPr>
      <w:r>
        <w:rPr>
          <w:i/>
          <w:iCs/>
          <w:color w:val="595959"/>
          <w:sz w:val="18"/>
          <w:szCs w:val="18"/>
        </w:rPr>
        <w:t xml:space="preserve">Sources: EliteAgent/Savills; Ghar.tv; Whalesbook.</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2026-10-11T03:45:54.032Z</dcterms:created>
  <dcterms:modified xsi:type="dcterms:W3CDTF">2026-10-11T03:45:54.043Z</dcterms:modified>
</cp:coreProperties>
</file>

<file path=docProps/custom.xml><?xml version="1.0" encoding="utf-8"?>
<Properties xmlns="http://schemas.openxmlformats.org/officeDocument/2006/custom-properties" xmlns:vt="http://schemas.openxmlformats.org/officeDocument/2006/docPropsVTypes"/>
</file>