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24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Sumadhura Elysium (Curve), a 14.78-acre project with 319 units of 3 &amp; 4 BHK apartments starting from ₹2.5 crore, is slated to launch at Panathur in East Bengaluru this month — one of several large launches planned across the city's growth corridors in 2026.</w:t>
      </w:r>
    </w:p>
    <w:p>
      <w:pPr>
        <w:pStyle w:val="ListParagraph"/>
        <w:numPr>
          <w:ilvl w:val="0"/>
          <w:numId w:val="2"/>
        </w:numPr>
        <w:spacing w:after="80"/>
      </w:pPr>
      <w:r>
        <w:rPr>
          <w:b w:val="false"/>
          <w:bCs w:val="false"/>
        </w:rPr>
        <w:t xml:space="preserve">Bengaluru property prices continue to range widely by micro-market, from ₹6,000–19,000/sq ft, with new-launch projects priced ₹45 lakh–3 crore (₹5,000–15,000/sq ft) as developers pass rising land-acquisition and construction costs into new project pricing.</w:t>
      </w:r>
    </w:p>
    <w:p>
      <w:pPr>
        <w:pStyle w:val="ListParagraph"/>
        <w:numPr>
          <w:ilvl w:val="0"/>
          <w:numId w:val="2"/>
        </w:numPr>
        <w:spacing w:after="80"/>
      </w:pPr>
      <w:r>
        <w:rPr>
          <w:b w:val="false"/>
          <w:bCs w:val="false"/>
        </w:rPr>
        <w:t xml:space="preserve">Upcoming 2026 launches are positioned to benefit from metro expansion, business-park growth and improved road connectivity, according to project trackers monitoring the city's pipeline.</w:t>
      </w:r>
    </w:p>
    <w:p>
      <w:pPr>
        <w:spacing w:after="150"/>
      </w:pPr>
      <w:r>
        <w:rPr>
          <w:i/>
          <w:iCs/>
          <w:color w:val="595959"/>
          <w:sz w:val="18"/>
          <w:szCs w:val="18"/>
        </w:rPr>
        <w:t xml:space="preserve">Sources: Business Standard (project filing); Tradebrains; NewProjectBangalore.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continued to lead India's commercial property market in H1 2026 with 14.1 million sq ft leased, and posted 5.6 million sq ft of gross office leasing in Q2 2026 with GCCs at 52% of quarterly activity; Grade A office supply hit a record 5.8 million sq ft in the quarter.</w:t>
      </w:r>
    </w:p>
    <w:p>
      <w:pPr>
        <w:pStyle w:val="ListParagraph"/>
        <w:numPr>
          <w:ilvl w:val="0"/>
          <w:numId w:val="2"/>
        </w:numPr>
        <w:spacing w:after="80"/>
      </w:pPr>
      <w:r>
        <w:rPr>
          <w:b w:val="false"/>
          <w:bCs w:val="false"/>
        </w:rPr>
        <w:t xml:space="preserve">Coastal Karnataka — including Mangaluru — is emerging as one of India's most promising office markets, as companies increasingly look beyond traditional hubs for commercial expansion.</w:t>
      </w:r>
    </w:p>
    <w:p>
      <w:pPr>
        <w:pStyle w:val="ListParagraph"/>
        <w:numPr>
          <w:ilvl w:val="0"/>
          <w:numId w:val="2"/>
        </w:numPr>
        <w:spacing w:after="80"/>
      </w:pPr>
      <w:r>
        <w:rPr>
          <w:b w:val="false"/>
          <w:bCs w:val="false"/>
        </w:rPr>
        <w:t xml:space="preserve">Bengaluru logged ~1.9 million sq ft of warehouse leasing in H2 2025, led by strong activity in Hoskote and Nelamangala, with 3PL (41%) and retail (30%) the key demand drivers.</w:t>
      </w:r>
    </w:p>
    <w:p>
      <w:pPr>
        <w:spacing w:after="150"/>
      </w:pPr>
      <w:r>
        <w:rPr>
          <w:i/>
          <w:iCs/>
          <w:color w:val="595959"/>
          <w:sz w:val="18"/>
          <w:szCs w:val="18"/>
        </w:rPr>
        <w:t xml:space="preserve">Sources: Cushman &amp; Wakefield Bengaluru MarketBeat; NoBroker Times; Business Standard.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ruled that Sohan Realty cannot deny a homebuyer's rights over payments made to a previous developer — reinforcing that buyer entitlements carry over even when a project changes hands mid-way.</w:t>
      </w:r>
    </w:p>
    <w:p>
      <w:pPr>
        <w:pStyle w:val="ListParagraph"/>
        <w:numPr>
          <w:ilvl w:val="0"/>
          <w:numId w:val="2"/>
        </w:numPr>
        <w:spacing w:after="80"/>
      </w:pPr>
      <w:r>
        <w:rPr>
          <w:b w:val="false"/>
          <w:bCs w:val="false"/>
        </w:rPr>
        <w:t xml:space="preserve">The Bengaluru "keys ≠ possession" ruling continues to draw commentary from legal experts, who say it sets a template requiring developers to complete every contractual obligation — not just handover — before considering a project closed.</w:t>
      </w:r>
    </w:p>
    <w:p>
      <w:pPr>
        <w:pStyle w:val="ListParagraph"/>
        <w:numPr>
          <w:ilvl w:val="0"/>
          <w:numId w:val="2"/>
        </w:numPr>
        <w:spacing w:after="80"/>
      </w:pPr>
      <w:r>
        <w:rPr>
          <w:b w:val="false"/>
          <w:bCs w:val="false"/>
        </w:rPr>
        <w:t xml:space="preserve">CREDAI Karnataka continues to engage with the state government on infrastructure and land-related policy even as the K-RERA chairmanship remains vacant.</w:t>
      </w:r>
    </w:p>
    <w:p>
      <w:pPr>
        <w:spacing w:after="150"/>
      </w:pPr>
      <w:r>
        <w:rPr>
          <w:i/>
          <w:iCs/>
          <w:color w:val="595959"/>
          <w:sz w:val="18"/>
          <w:szCs w:val="18"/>
        </w:rPr>
        <w:t xml:space="preserve">Sources: LiveLaw; Pune Pulse;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Bengaluru and Chennai posted a combined 47% rise in housing sales during a recent July–September period, reaching 38,644 units versus 26,284 a year earlier; Hyderabad's own sales grew 53% to 17,658 units, while Chennai's more than doubled to 7,862 units.</w:t>
      </w:r>
    </w:p>
    <w:p>
      <w:pPr>
        <w:pStyle w:val="ListParagraph"/>
        <w:numPr>
          <w:ilvl w:val="0"/>
          <w:numId w:val="2"/>
        </w:numPr>
        <w:spacing w:after="80"/>
      </w:pPr>
      <w:r>
        <w:rPr>
          <w:b w:val="false"/>
          <w:bCs w:val="false"/>
        </w:rPr>
        <w:t xml:space="preserve">Over 800 luxury homes were sold across Hyderabad, Bengaluru and Chennai in FY26 worth a combined US$1.22 billion; Hyderabad alone generated ₹1,957 crore and Chennai ₹727 crore, with Hyderabad leading on volumes due to larger home sizes and competitive pricing.</w:t>
      </w:r>
    </w:p>
    <w:p>
      <w:pPr>
        <w:pStyle w:val="ListParagraph"/>
        <w:numPr>
          <w:ilvl w:val="0"/>
          <w:numId w:val="2"/>
        </w:numPr>
        <w:spacing w:after="80"/>
      </w:pPr>
      <w:r>
        <w:rPr>
          <w:b w:val="false"/>
          <w:bCs w:val="false"/>
        </w:rPr>
        <w:t xml:space="preserve">Analysts point to a structural premiumisation shift across South India's residential markets, driven by rising incomes, wealth creation and changing consumer preferences toward larger, higher-value homes.</w:t>
      </w:r>
    </w:p>
    <w:p>
      <w:pPr>
        <w:spacing w:after="150"/>
      </w:pPr>
      <w:r>
        <w:rPr>
          <w:i/>
          <w:iCs/>
          <w:color w:val="595959"/>
          <w:sz w:val="18"/>
          <w:szCs w:val="18"/>
        </w:rPr>
        <w:t xml:space="preserve">Sources: Business Standard/PropTiger; IBEF.</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Coastal Karnataka's emergence as an office market adds to South India's expanding commercial geography alongside the established Bengaluru–Chennai–Hyderabad triangle.</w:t>
      </w:r>
    </w:p>
    <w:p>
      <w:pPr>
        <w:pStyle w:val="ListParagraph"/>
        <w:numPr>
          <w:ilvl w:val="0"/>
          <w:numId w:val="2"/>
        </w:numPr>
        <w:spacing w:after="80"/>
      </w:pPr>
      <w:r>
        <w:rPr>
          <w:b w:val="false"/>
          <w:bCs w:val="false"/>
        </w:rPr>
        <w:t xml:space="preserve">Chennai and Hyderabad continue to draw large-format industrial and warehousing demand, building on H1 2026's broader trend of Delhi-NCR and Chennai together capturing over 45% of India's Grade A logistics leasing.</w:t>
      </w:r>
    </w:p>
    <w:p>
      <w:pPr>
        <w:pStyle w:val="ListParagraph"/>
        <w:numPr>
          <w:ilvl w:val="0"/>
          <w:numId w:val="2"/>
        </w:numPr>
        <w:spacing w:after="80"/>
      </w:pPr>
      <w:r>
        <w:rPr>
          <w:b w:val="false"/>
          <w:bCs w:val="false"/>
        </w:rPr>
        <w:t xml:space="preserve">South India's GCC ecosystem remains a key driver of office absorption across all three metro markets, reinforcing the region's position as India's leading technology-services office corridor.</w:t>
      </w:r>
    </w:p>
    <w:p>
      <w:pPr>
        <w:spacing w:after="150"/>
      </w:pPr>
      <w:r>
        <w:rPr>
          <w:i/>
          <w:iCs/>
          <w:color w:val="595959"/>
          <w:sz w:val="18"/>
          <w:szCs w:val="18"/>
        </w:rPr>
        <w:t xml:space="preserve">Sources: NoBroker Times; Business Standard/CBRE.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Punjab RERA's recent ruling rejecting a builder's COVID-19 delay justification (ordering ₹56 lakh+ in interest) is being watched by South Indian RERAs as a precedent for how pandemic-era delay excuses should be treated going forward.</w:t>
      </w:r>
    </w:p>
    <w:p>
      <w:pPr>
        <w:pStyle w:val="ListParagraph"/>
        <w:numPr>
          <w:ilvl w:val="0"/>
          <w:numId w:val="2"/>
        </w:numPr>
        <w:spacing w:after="80"/>
      </w:pPr>
      <w:r>
        <w:rPr>
          <w:b w:val="false"/>
          <w:bCs w:val="false"/>
        </w:rPr>
        <w:t xml:space="preserve">K-RERA's Sohan Realty order — protecting buyer rights across developer handovers — is expected to inform similar disputes in neighbouring South Indian states where project transfers between developers are common.</w:t>
      </w:r>
    </w:p>
    <w:p>
      <w:pPr>
        <w:pStyle w:val="ListParagraph"/>
        <w:numPr>
          <w:ilvl w:val="0"/>
          <w:numId w:val="2"/>
        </w:numPr>
        <w:spacing w:after="80"/>
      </w:pPr>
      <w:r>
        <w:rPr>
          <w:b w:val="false"/>
          <w:bCs w:val="false"/>
        </w:rPr>
        <w:t xml:space="preserve">CREDAI's southern state chapters continue to track national RERA enforcement trends, including the Supreme Court's recent tough stance on non-compliant developers, as a signal of tightening consumer-protection enforcement nationally.</w:t>
      </w:r>
    </w:p>
    <w:p>
      <w:pPr>
        <w:spacing w:after="150"/>
      </w:pPr>
      <w:r>
        <w:rPr>
          <w:i/>
          <w:iCs/>
          <w:color w:val="595959"/>
          <w:sz w:val="18"/>
          <w:szCs w:val="18"/>
        </w:rPr>
        <w:t xml:space="preserve">Sources: India Legal News/LegalSeva; LiveLaw; Business Standard.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Bengaluru and Chennai's combined 47% YoY rise in housing sales (38,644 units in a recent quarter) reflects a broader national trend of resilient demand even as new launches have shown volatility in some cities.</w:t>
      </w:r>
    </w:p>
    <w:p>
      <w:pPr>
        <w:pStyle w:val="ListParagraph"/>
        <w:numPr>
          <w:ilvl w:val="0"/>
          <w:numId w:val="2"/>
        </w:numPr>
        <w:spacing w:after="80"/>
      </w:pPr>
      <w:r>
        <w:rPr>
          <w:b w:val="false"/>
          <w:bCs w:val="false"/>
        </w:rPr>
        <w:t xml:space="preserve">India's luxury and premium housing segments continue to outperform, with luxury home sales (₹4 crore+) up nearly 28% YoY across seven major cities in 2025 — reinforcing a nationwide premiumisation trend also visible in South India.</w:t>
      </w:r>
    </w:p>
    <w:p>
      <w:pPr>
        <w:pStyle w:val="ListParagraph"/>
        <w:numPr>
          <w:ilvl w:val="0"/>
          <w:numId w:val="2"/>
        </w:numPr>
        <w:spacing w:after="80"/>
      </w:pPr>
      <w:r>
        <w:rPr>
          <w:b w:val="false"/>
          <w:bCs w:val="false"/>
        </w:rPr>
        <w:t xml:space="preserve">New-launch activity remains uneven across cities: some markets have seen sharp new-launch pullbacks even as overall sales stay resilient, underscoring a more selective, demand-led phase for India's housing sector in 2026.</w:t>
      </w:r>
    </w:p>
    <w:p>
      <w:pPr>
        <w:spacing w:after="150"/>
      </w:pPr>
      <w:r>
        <w:rPr>
          <w:i/>
          <w:iCs/>
          <w:color w:val="595959"/>
          <w:sz w:val="18"/>
          <w:szCs w:val="18"/>
        </w:rPr>
        <w:t xml:space="preserve">Sources: Business Standard/PropTiger; IBEF.</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industrial and warehousing sector remains tight, with demand up sharply in H1 2026 and Grade-A supply still catching up to a record leasing environment nationally.</w:t>
      </w:r>
    </w:p>
    <w:p>
      <w:pPr>
        <w:pStyle w:val="ListParagraph"/>
        <w:numPr>
          <w:ilvl w:val="0"/>
          <w:numId w:val="2"/>
        </w:numPr>
        <w:spacing w:after="80"/>
      </w:pPr>
      <w:r>
        <w:rPr>
          <w:b w:val="false"/>
          <w:bCs w:val="false"/>
        </w:rPr>
        <w:t xml:space="preserve">Coastal and Tier-2 markets — such as coastal Karnataka — are increasingly drawing office and industrial interest as occupiers diversify beyond the traditional metro hubs.</w:t>
      </w:r>
    </w:p>
    <w:p>
      <w:pPr>
        <w:pStyle w:val="ListParagraph"/>
        <w:numPr>
          <w:ilvl w:val="0"/>
          <w:numId w:val="2"/>
        </w:numPr>
        <w:spacing w:after="80"/>
      </w:pPr>
      <w:r>
        <w:rPr>
          <w:b w:val="false"/>
          <w:bCs w:val="false"/>
        </w:rPr>
        <w:t xml:space="preserve">GCCs remain the single largest driver of India's office leasing story nationally, a trend consistent across Bengaluru, Chennai, Hyderabad and other major metros through H1 2026.</w:t>
      </w:r>
    </w:p>
    <w:p>
      <w:pPr>
        <w:spacing w:after="150"/>
      </w:pPr>
      <w:r>
        <w:rPr>
          <w:i/>
          <w:iCs/>
          <w:color w:val="595959"/>
          <w:sz w:val="18"/>
          <w:szCs w:val="18"/>
        </w:rPr>
        <w:t xml:space="preserve">Sources: NoBroker Times; Business Standard/CBRE.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Supreme Court has delivered a strong warning to Parsvnath Developers, giving the Haryana-based company one final week to deposit the full recoverable amount with 12% annual interest — warning that non-compliance would lead to imprisonment, in a sign of the judiciary's hardening stance on defaulting developers nationally.</w:t>
      </w:r>
    </w:p>
    <w:p>
      <w:pPr>
        <w:pStyle w:val="ListParagraph"/>
        <w:numPr>
          <w:ilvl w:val="0"/>
          <w:numId w:val="2"/>
        </w:numPr>
        <w:spacing w:after="80"/>
      </w:pPr>
      <w:r>
        <w:rPr>
          <w:b w:val="false"/>
          <w:bCs w:val="false"/>
        </w:rPr>
        <w:t xml:space="preserve">Punjab RERA has ordered a developer to pay over ₹56 lakh in interest to a homebuyer, explicitly rejecting the COVID-19 pandemic as a justification for project delay — a ruling likely to influence how state RERAs nationally treat similar pandemic-era delay defences.</w:t>
      </w:r>
    </w:p>
    <w:p>
      <w:pPr>
        <w:pStyle w:val="ListParagraph"/>
        <w:numPr>
          <w:ilvl w:val="0"/>
          <w:numId w:val="2"/>
        </w:numPr>
        <w:spacing w:after="80"/>
      </w:pPr>
      <w:r>
        <w:rPr>
          <w:b w:val="false"/>
          <w:bCs w:val="false"/>
        </w:rPr>
        <w:t xml:space="preserve">Commentary continues to frame 2026 as a year of "RERA 2.0" homebuyer-protection reforms, with legal experts flagging continuing pitfalls buyers must watch for and avenues for dispute resolution even as enforcement strengthens.</w:t>
      </w:r>
    </w:p>
    <w:p>
      <w:pPr>
        <w:spacing w:after="150"/>
      </w:pPr>
      <w:r>
        <w:rPr>
          <w:i/>
          <w:iCs/>
          <w:color w:val="595959"/>
          <w:sz w:val="18"/>
          <w:szCs w:val="18"/>
        </w:rPr>
        <w:t xml:space="preserve">Sources: Business Standard; India Legal News/LegalSeva;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2026-07-24T03:40:15.692Z</dcterms:created>
  <dcterms:modified xsi:type="dcterms:W3CDTF">2026-07-24T03:40:15.711Z</dcterms:modified>
</cp:coreProperties>
</file>

<file path=docProps/custom.xml><?xml version="1.0" encoding="utf-8"?>
<Properties xmlns="http://schemas.openxmlformats.org/officeDocument/2006/custom-properties" xmlns:vt="http://schemas.openxmlformats.org/officeDocument/2006/docPropsVTypes"/>
</file>