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14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Namma Metro's Pink Line Reach 6 — a 21.26-km corridor from Kalena Agrahara to Nagawara with 18 stations — is expected to be commissioned this month, with underground tunnelling fully complete and station construction 91-97% finished across all four underground packages.</w:t>
      </w:r>
    </w:p>
    <w:p>
      <w:pPr>
        <w:pStyle w:val="ListParagraph"/>
        <w:numPr>
          <w:ilvl w:val="0"/>
          <w:numId w:val="2"/>
        </w:numPr>
        <w:spacing w:after="80"/>
      </w:pPr>
      <w:r>
        <w:rPr>
          <w:b w:val="false"/>
          <w:bCs w:val="false"/>
        </w:rPr>
        <w:t xml:space="preserve">Whitefield continues to command ₹10,800–12,200 per sq ft on average (luxury pockets exceeding ₹15,000/sq ft), while Sarjapur Road has climbed to roughly ₹12,150 per sq ft in Q1 2026 — up nearly 79% from ₹6,050/sq ft at end-2021.</w:t>
      </w:r>
    </w:p>
    <w:p>
      <w:pPr>
        <w:pStyle w:val="ListParagraph"/>
        <w:numPr>
          <w:ilvl w:val="0"/>
          <w:numId w:val="2"/>
        </w:numPr>
        <w:spacing w:after="80"/>
      </w:pPr>
      <w:r>
        <w:rPr>
          <w:b w:val="false"/>
          <w:bCs w:val="false"/>
        </w:rPr>
        <w:t xml:space="preserve">Sarjapur Road remains 15–25% cheaper than Whitefield across comparable configurations — a 2 BHK costing ₹80 lakh in Whitefield typically costs ₹62–68 lakh on Sarjapur Road for similar build quality, sustaining its appeal as a value alternative.</w:t>
      </w:r>
    </w:p>
    <w:p>
      <w:pPr>
        <w:spacing w:after="150"/>
      </w:pPr>
      <w:r>
        <w:rPr>
          <w:i/>
          <w:iCs/>
          <w:color w:val="595959"/>
          <w:sz w:val="18"/>
          <w:szCs w:val="18"/>
        </w:rPr>
        <w:t xml:space="preserve">Sources: Deccan Herald (Namma Metro Reach 6 commissioning, construction progress); Abheeventures/RealtyPromoo (Whitefield vs Sarjapur Road pricing, ANAROCK 3.5-year appreciation data).</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Karnataka's Deputy CM D K Shivakumar has stated the city will have 175 km of operational metro line by December 2027, with 41 km set to become operational within 2026 alone as construction accelerates across multiple lines.</w:t>
      </w:r>
    </w:p>
    <w:p>
      <w:pPr>
        <w:pStyle w:val="ListParagraph"/>
        <w:numPr>
          <w:ilvl w:val="0"/>
          <w:numId w:val="2"/>
        </w:numPr>
        <w:spacing w:after="80"/>
      </w:pPr>
      <w:r>
        <w:rPr>
          <w:b w:val="false"/>
          <w:bCs w:val="false"/>
        </w:rPr>
        <w:t xml:space="preserve">A 500-km Bengaluru Metro expansion plan was unveiled at the KATALYST CONNECT summit on 8 July 2026, explicitly designed to support Karnataka's aggressive goal of attracting 500 new Global Capability Centres to the state.</w:t>
      </w:r>
    </w:p>
    <w:p>
      <w:pPr>
        <w:pStyle w:val="ListParagraph"/>
        <w:numPr>
          <w:ilvl w:val="0"/>
          <w:numId w:val="2"/>
        </w:numPr>
        <w:spacing w:after="80"/>
      </w:pPr>
      <w:r>
        <w:rPr>
          <w:b w:val="false"/>
          <w:bCs w:val="false"/>
        </w:rPr>
        <w:t xml:space="preserve">Continued IT-corridor price growth along Whitefield and Sarjapur Road reflects sustained commercial-residential linkage as metro expansion accelerates to support the state's GCC ambitions.</w:t>
      </w:r>
    </w:p>
    <w:p>
      <w:pPr>
        <w:spacing w:after="150"/>
      </w:pPr>
      <w:r>
        <w:rPr>
          <w:i/>
          <w:iCs/>
          <w:color w:val="595959"/>
          <w:sz w:val="18"/>
          <w:szCs w:val="18"/>
        </w:rPr>
        <w:t xml:space="preserve">Sources: Deccan Herald (metro expansion targets); Metro Rail News (500-km plan, GCC target).</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K-RERA's registration oversight along the Kalena Agrahara-Nagawara Pink Line corridor is expected to intensify as this month's Reach 6 commissioning draws fresh developer interest to previously under-served stretches of the route.</w:t>
      </w:r>
    </w:p>
    <w:p>
      <w:pPr>
        <w:pStyle w:val="ListParagraph"/>
        <w:numPr>
          <w:ilvl w:val="0"/>
          <w:numId w:val="2"/>
        </w:numPr>
        <w:spacing w:after="80"/>
      </w:pPr>
      <w:r>
        <w:rPr>
          <w:b w:val="false"/>
          <w:bCs w:val="false"/>
        </w:rPr>
        <w:t xml:space="preserve">CREDAI Karnataka continues to track Sarjapur Road's near-79% appreciation over 3.5 years as a case study in how metro-adjacent corridors sustain long-run price growth even amid broader market normalisation.</w:t>
      </w:r>
    </w:p>
    <w:p>
      <w:pPr>
        <w:pStyle w:val="ListParagraph"/>
        <w:numPr>
          <w:ilvl w:val="0"/>
          <w:numId w:val="2"/>
        </w:numPr>
        <w:spacing w:after="80"/>
      </w:pPr>
      <w:r>
        <w:rPr>
          <w:b w:val="false"/>
          <w:bCs w:val="false"/>
        </w:rPr>
        <w:t xml:space="preserve">Karnataka's 500-GCC target and accompanying 500-km metro expansion plan require close coordination between state infrastructure planners and CREDAI Karnataka on aligning future project registrations with transit rollout.</w:t>
      </w:r>
    </w:p>
    <w:p>
      <w:pPr>
        <w:spacing w:after="150"/>
      </w:pPr>
      <w:r>
        <w:rPr>
          <w:i/>
          <w:iCs/>
          <w:color w:val="595959"/>
          <w:sz w:val="18"/>
          <w:szCs w:val="18"/>
        </w:rPr>
        <w:t xml:space="preserve">Sources: Deccan Herald; Metro Rail News; Abheeventures/RealtyPromoo.</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 sold approximately 7,200 residential units in Q1 2026 alone, up 10% YoY, with GCC-driven employment growth cited as the primary demand driver behind the city's continued sales momentum.</w:t>
      </w:r>
    </w:p>
    <w:p>
      <w:pPr>
        <w:pStyle w:val="ListParagraph"/>
        <w:numPr>
          <w:ilvl w:val="0"/>
          <w:numId w:val="2"/>
        </w:numPr>
        <w:spacing w:after="80"/>
      </w:pPr>
      <w:r>
        <w:rPr>
          <w:b w:val="false"/>
          <w:bCs w:val="false"/>
        </w:rPr>
        <w:t xml:space="preserve">GCCs accounted for a record 55% of Chennai's Q1 2026 office leasing, cementing their position as the city's biggest buyers and renters of premium corporate office space and reinforcing spillover demand into residential catchments.</w:t>
      </w:r>
    </w:p>
    <w:p>
      <w:pPr>
        <w:pStyle w:val="ListParagraph"/>
        <w:numPr>
          <w:ilvl w:val="0"/>
          <w:numId w:val="2"/>
        </w:numPr>
        <w:spacing w:after="80"/>
      </w:pPr>
      <w:r>
        <w:rPr>
          <w:b w:val="false"/>
          <w:bCs w:val="false"/>
        </w:rPr>
        <w:t xml:space="preserve">Tamil Nadu's Industries Minister S. Keerthana announced in the Assembly on 25 August 2026 a programme offering higher FSI and improved infrastructure for eligible GCC campuses along Chennai's OMR, Radial Road and Mount-Poonamallee Road corridors.</w:t>
      </w:r>
    </w:p>
    <w:p>
      <w:pPr>
        <w:spacing w:after="150"/>
      </w:pPr>
      <w:r>
        <w:rPr>
          <w:i/>
          <w:iCs/>
          <w:color w:val="595959"/>
          <w:sz w:val="18"/>
          <w:szCs w:val="18"/>
        </w:rPr>
        <w:t xml:space="preserve">Sources: Verified.RealEstate Community (Chennai Q1 2026 sales, TN GCC-FSI programme); Brigade Group (GCC growth impact on Chennai housing demand).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From 1 September 2026, the Greater Chennai Corporation has made public auctions mandatory for all initial property allotments — a transparency reform aimed at ensuring fair process and maximising the city's revenue from its commercial assets.</w:t>
      </w:r>
    </w:p>
    <w:p>
      <w:pPr>
        <w:pStyle w:val="ListParagraph"/>
        <w:numPr>
          <w:ilvl w:val="0"/>
          <w:numId w:val="2"/>
        </w:numPr>
        <w:spacing w:after="80"/>
      </w:pPr>
      <w:r>
        <w:rPr>
          <w:b w:val="false"/>
          <w:bCs w:val="false"/>
        </w:rPr>
        <w:t xml:space="preserve">Commercial real estate investment in Tamil Nadu in 2026 is increasingly concentrated in specialised growth corridors, with Chennai leading the state in office, GCC and data-centre demand.</w:t>
      </w:r>
    </w:p>
    <w:p>
      <w:pPr>
        <w:pStyle w:val="ListParagraph"/>
        <w:numPr>
          <w:ilvl w:val="0"/>
          <w:numId w:val="2"/>
        </w:numPr>
        <w:spacing w:after="80"/>
      </w:pPr>
      <w:r>
        <w:rPr>
          <w:b w:val="false"/>
          <w:bCs w:val="false"/>
        </w:rPr>
        <w:t xml:space="preserve">Tamil Nadu's new higher-FSI, infrastructure-backed GCC programme for OMR, Radial Road and Mount-Poonamallee Road is expected to sustain the corridor's office-leasing dominance well into 2027.</w:t>
      </w:r>
    </w:p>
    <w:p>
      <w:pPr>
        <w:spacing w:after="150"/>
      </w:pPr>
      <w:r>
        <w:rPr>
          <w:i/>
          <w:iCs/>
          <w:color w:val="595959"/>
          <w:sz w:val="18"/>
          <w:szCs w:val="18"/>
        </w:rPr>
        <w:t xml:space="preserve">Sources: LiveChennai (GCC public auction mandate); Verified.RealEstate Community.</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The Greater Chennai Corporation's new mandatory-auction rule for GCC property allotments, effective from 1 September 2026, represents a major transparency reform that Tamil Nadu CREDAI members must now navigate for commercial land transactions.</w:t>
      </w:r>
    </w:p>
    <w:p>
      <w:pPr>
        <w:pStyle w:val="ListParagraph"/>
        <w:numPr>
          <w:ilvl w:val="0"/>
          <w:numId w:val="2"/>
        </w:numPr>
        <w:spacing w:after="80"/>
      </w:pPr>
      <w:r>
        <w:rPr>
          <w:b w:val="false"/>
          <w:bCs w:val="false"/>
        </w:rPr>
        <w:t xml:space="preserve">Tamil Nadu's higher-FSI GCC programme for OMR, Radial Road and Mount-Poonamallee Road gives CREDAI Tamil Nadu a fresh multi-year framework for registering new commercial and mixed-use projects along these corridors.</w:t>
      </w:r>
    </w:p>
    <w:p>
      <w:pPr>
        <w:pStyle w:val="ListParagraph"/>
        <w:numPr>
          <w:ilvl w:val="0"/>
          <w:numId w:val="2"/>
        </w:numPr>
        <w:spacing w:after="80"/>
      </w:pPr>
      <w:r>
        <w:rPr>
          <w:b w:val="false"/>
          <w:bCs w:val="false"/>
        </w:rPr>
        <w:t xml:space="preserve">Chennai's GCC-driven 10% YoY residential sales growth in Q1 2026 reinforces the case for continued infrastructure investment alongside registration streamlining across the state's key employment corridors.</w:t>
      </w:r>
    </w:p>
    <w:p>
      <w:pPr>
        <w:spacing w:after="150"/>
      </w:pPr>
      <w:r>
        <w:rPr>
          <w:i/>
          <w:iCs/>
          <w:color w:val="595959"/>
          <w:sz w:val="18"/>
          <w:szCs w:val="18"/>
        </w:rPr>
        <w:t xml:space="preserve">Sources: LiveChennai; Verified.RealEstate Community; Brigade Group.</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flex office space crossed 100 million sq ft as FY2026 closed, with ratings firm Crisil projecting sector capacity to reach 140-145 million sq ft by FY28 as enterprise adoption continues to accelerate.</w:t>
      </w:r>
    </w:p>
    <w:p>
      <w:pPr>
        <w:pStyle w:val="ListParagraph"/>
        <w:numPr>
          <w:ilvl w:val="0"/>
          <w:numId w:val="2"/>
        </w:numPr>
        <w:spacing w:after="80"/>
      </w:pPr>
      <w:r>
        <w:rPr>
          <w:b w:val="false"/>
          <w:bCs w:val="false"/>
        </w:rPr>
        <w:t xml:space="preserve">Flex office is India's fastest-growing core occupier segment, with leasing by flex operators rising 16% YoY — the strongest growth rate of any occupier category — accounting for 18% of H1 2026 office leasing across the top six cities.</w:t>
      </w:r>
    </w:p>
    <w:p>
      <w:pPr>
        <w:pStyle w:val="ListParagraph"/>
        <w:numPr>
          <w:ilvl w:val="0"/>
          <w:numId w:val="2"/>
        </w:numPr>
        <w:spacing w:after="80"/>
      </w:pPr>
      <w:r>
        <w:rPr>
          <w:b w:val="false"/>
          <w:bCs w:val="false"/>
        </w:rPr>
        <w:t xml:space="preserve">In Q2 2026, flexible workspace providers became India's largest office occupiers outright, capturing 27% of gross office leasing nationally, ahead of technology companies (21%) and BFSI firms (13%).</w:t>
      </w:r>
    </w:p>
    <w:p>
      <w:pPr>
        <w:spacing w:after="150"/>
      </w:pPr>
      <w:r>
        <w:rPr>
          <w:i/>
          <w:iCs/>
          <w:color w:val="595959"/>
          <w:sz w:val="18"/>
          <w:szCs w:val="18"/>
        </w:rPr>
        <w:t xml:space="preserve">Sources: Coworking Europe/Savills (flex office H1 2026 leasing growth); Business Standard (100 million sq ft milestone, Crisil FY28 projection, Q2 2026 occupier mix).</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Regional flex-office adoption varies sharply: Delhi-NCR leads with flex operators accounting for 45% of regional office transactions, followed by Pune at 38%, while Bengaluru and Hyderabad recorded shares of 26% and 24% respectively.</w:t>
      </w:r>
    </w:p>
    <w:p>
      <w:pPr>
        <w:pStyle w:val="ListParagraph"/>
        <w:numPr>
          <w:ilvl w:val="0"/>
          <w:numId w:val="2"/>
        </w:numPr>
        <w:spacing w:after="80"/>
      </w:pPr>
      <w:r>
        <w:rPr>
          <w:b w:val="false"/>
          <w:bCs w:val="false"/>
        </w:rPr>
        <w:t xml:space="preserve">GCCs accounted for a record 45.5% of all India office leasing in Q1 2026, with enterprise clients now contributing the majority of revenue across every listed flex-office operator nationally.</w:t>
      </w:r>
    </w:p>
    <w:p>
      <w:pPr>
        <w:pStyle w:val="ListParagraph"/>
        <w:numPr>
          <w:ilvl w:val="0"/>
          <w:numId w:val="2"/>
        </w:numPr>
        <w:spacing w:after="80"/>
      </w:pPr>
      <w:r>
        <w:rPr>
          <w:b w:val="false"/>
          <w:bCs w:val="false"/>
        </w:rPr>
        <w:t xml:space="preserve">Executive Centre India's SEBI-approved ₹2,600 crore IPO reflects growing institutional and capital-market appetite for India's rapidly scaling flex-office sector as it matures into a mainstream commercial real estate asset class.</w:t>
      </w:r>
    </w:p>
    <w:p>
      <w:pPr>
        <w:spacing w:after="150"/>
      </w:pPr>
      <w:r>
        <w:rPr>
          <w:i/>
          <w:iCs/>
          <w:color w:val="595959"/>
          <w:sz w:val="18"/>
          <w:szCs w:val="18"/>
        </w:rPr>
        <w:t xml:space="preserve">Sources: Business Standard (regional flex adoption, GCC leasing share, Executive Centre India IPO); Allwork.space (evolving coworking markets).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rapid institutionalisation of flex office (100+ million sq ft, an IPO-track operator) is prompting continued dialogue between commercial real estate bodies and regulators on lease and sub-lease disclosure norms nationally.</w:t>
      </w:r>
    </w:p>
    <w:p>
      <w:pPr>
        <w:pStyle w:val="ListParagraph"/>
        <w:numPr>
          <w:ilvl w:val="0"/>
          <w:numId w:val="2"/>
        </w:numPr>
        <w:spacing w:after="80"/>
      </w:pPr>
      <w:r>
        <w:rPr>
          <w:b w:val="false"/>
          <w:bCs w:val="false"/>
        </w:rPr>
        <w:t xml:space="preserve">Tamil Nadu's new mandatory-auction rule for GCC property allotments in Chennai, effective from 1 September 2026, could serve as a transparency template other states consider for public land allocation to GCC and commercial tenants.</w:t>
      </w:r>
    </w:p>
    <w:p>
      <w:pPr>
        <w:pStyle w:val="ListParagraph"/>
        <w:numPr>
          <w:ilvl w:val="0"/>
          <w:numId w:val="2"/>
        </w:numPr>
        <w:spacing w:after="80"/>
      </w:pPr>
      <w:r>
        <w:rPr>
          <w:b w:val="false"/>
          <w:bCs w:val="false"/>
        </w:rPr>
        <w:t xml:space="preserve">Karnataka's 500-GCC target and accompanying 500-km metro expansion plan reinforce how state governments nationally are aligning infrastructure and GCC-linked commercial real estate policy to compete for enterprise investment.</w:t>
      </w:r>
    </w:p>
    <w:p>
      <w:pPr>
        <w:spacing w:after="150"/>
      </w:pPr>
      <w:r>
        <w:rPr>
          <w:i/>
          <w:iCs/>
          <w:color w:val="595959"/>
          <w:sz w:val="18"/>
          <w:szCs w:val="18"/>
        </w:rPr>
        <w:t xml:space="preserve">Sources: Business Standard; LiveChennai; Metro Rail News.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2026-09-14T03:40:41.336Z</dcterms:created>
  <dcterms:modified xsi:type="dcterms:W3CDTF">2026-09-14T03:40:41.354Z</dcterms:modified>
</cp:coreProperties>
</file>

<file path=docProps/custom.xml><?xml version="1.0" encoding="utf-8"?>
<Properties xmlns="http://schemas.openxmlformats.org/officeDocument/2006/custom-properties" xmlns:vt="http://schemas.openxmlformats.org/officeDocument/2006/docPropsVTypes"/>
</file>